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9E8C4" w14:textId="77777777" w:rsidR="00ED54F8" w:rsidRDefault="00ED54F8" w:rsidP="008E5514"/>
    <w:p w14:paraId="43F35236" w14:textId="77777777" w:rsidR="00ED54F8" w:rsidRDefault="00ED54F8" w:rsidP="008E5514"/>
    <w:p w14:paraId="68A5C57F" w14:textId="77777777" w:rsidR="00ED54F8" w:rsidRDefault="00ED54F8" w:rsidP="008E5514"/>
    <w:p w14:paraId="3A9677D9" w14:textId="77777777" w:rsidR="00ED54F8" w:rsidRDefault="00ED54F8" w:rsidP="008E5514"/>
    <w:p w14:paraId="39808A16" w14:textId="6B4C7871" w:rsidR="00147ED3" w:rsidRDefault="00147ED3" w:rsidP="008E5514">
      <w:r>
        <w:fldChar w:fldCharType="begin"/>
      </w:r>
      <w:r>
        <w:instrText xml:space="preserve"> DATE \@ "dd MMMM yyyy" </w:instrText>
      </w:r>
      <w:r>
        <w:fldChar w:fldCharType="separate"/>
      </w:r>
      <w:r w:rsidR="00BA2E68">
        <w:rPr>
          <w:noProof/>
        </w:rPr>
        <w:t>18 March 2024</w:t>
      </w:r>
      <w:r>
        <w:fldChar w:fldCharType="end"/>
      </w:r>
    </w:p>
    <w:p w14:paraId="133E480F" w14:textId="4EC4761F" w:rsidR="00D72D40" w:rsidRDefault="00D72D40" w:rsidP="008E5514">
      <w:r>
        <w:t xml:space="preserve">By email: </w:t>
      </w:r>
      <w:r w:rsidR="00C54FC3" w:rsidRPr="00C54FC3">
        <w:t>energy.upgrades@delwp.vic.gov.au</w:t>
      </w:r>
    </w:p>
    <w:p w14:paraId="102DF92A" w14:textId="77777777" w:rsidR="00C54FC3" w:rsidRDefault="00C54FC3" w:rsidP="00C54FC3">
      <w:pPr>
        <w:pStyle w:val="NoSpacing"/>
      </w:pPr>
      <w:r w:rsidRPr="00C54FC3">
        <w:rPr>
          <w:rFonts w:ascii="Arial" w:hAnsi="Arial" w:cs="Arial"/>
        </w:rPr>
        <w:t>​</w:t>
      </w:r>
      <w:r w:rsidRPr="00C54FC3">
        <w:t xml:space="preserve">Department of Energy, Environment and Climate Action </w:t>
      </w:r>
    </w:p>
    <w:p w14:paraId="021DA55B" w14:textId="16A9EE77" w:rsidR="00C54FC3" w:rsidRPr="00C54FC3" w:rsidRDefault="00C54FC3" w:rsidP="00C54FC3">
      <w:pPr>
        <w:pStyle w:val="NoSpacing"/>
      </w:pPr>
      <w:r w:rsidRPr="00C54FC3">
        <w:t xml:space="preserve">PO Box 500 </w:t>
      </w:r>
    </w:p>
    <w:p w14:paraId="2BC089CA" w14:textId="465D3374" w:rsidR="00147ED3" w:rsidRDefault="00C54FC3" w:rsidP="00C54FC3">
      <w:pPr>
        <w:pStyle w:val="NoSpacing"/>
      </w:pPr>
      <w:r w:rsidRPr="00C54FC3">
        <w:t>EAST MELBOURNE VIC 8002</w:t>
      </w:r>
    </w:p>
    <w:p w14:paraId="77F2E5EF" w14:textId="77777777" w:rsidR="00C54FC3" w:rsidRDefault="00C54FC3" w:rsidP="008E5514"/>
    <w:p w14:paraId="681114AF" w14:textId="77777777" w:rsidR="00AB305E" w:rsidRDefault="0082123C" w:rsidP="00AB305E">
      <w:pPr>
        <w:pStyle w:val="NoSpacing"/>
      </w:pPr>
      <w:r>
        <w:t>Dear</w:t>
      </w:r>
      <w:r w:rsidR="00C54FC3">
        <w:t xml:space="preserve"> </w:t>
      </w:r>
      <w:r w:rsidR="00C54FC3" w:rsidRPr="00C54FC3">
        <w:rPr>
          <w:rFonts w:ascii="Arial" w:hAnsi="Arial" w:cs="Arial"/>
        </w:rPr>
        <w:t>​</w:t>
      </w:r>
      <w:r w:rsidR="00C54FC3" w:rsidRPr="00C54FC3">
        <w:t xml:space="preserve">Manager, Demand Side Policy, </w:t>
      </w:r>
    </w:p>
    <w:p w14:paraId="1472C667" w14:textId="26610B0C" w:rsidR="0082123C" w:rsidRDefault="00C54FC3" w:rsidP="00AB305E">
      <w:pPr>
        <w:pStyle w:val="NoSpacing"/>
      </w:pPr>
      <w:r w:rsidRPr="00C54FC3">
        <w:t>Energy Demand and Efficiency Policy Branch</w:t>
      </w:r>
      <w:r>
        <w:t>,</w:t>
      </w:r>
    </w:p>
    <w:p w14:paraId="157B884F" w14:textId="77777777" w:rsidR="00AB305E" w:rsidRDefault="00AB305E" w:rsidP="00AB305E">
      <w:pPr>
        <w:pStyle w:val="NoSpacing"/>
      </w:pPr>
    </w:p>
    <w:p w14:paraId="123223DB" w14:textId="4B361D6F" w:rsidR="003F07CA" w:rsidRDefault="00C54FC3" w:rsidP="00283817">
      <w:pPr>
        <w:pStyle w:val="Title"/>
      </w:pPr>
      <w:r>
        <w:t xml:space="preserve">Telemarketing and doorknocking ban under the Victorian Energy Upgrades program </w:t>
      </w:r>
      <w:r>
        <w:br/>
      </w:r>
    </w:p>
    <w:p w14:paraId="28963225" w14:textId="0859C0F5" w:rsidR="00382483" w:rsidRDefault="00C54FC3" w:rsidP="008E5514">
      <w:r>
        <w:t>Consumer Action Law Centre (Consumer Action) welcomes the opportunity to provide comment on the</w:t>
      </w:r>
      <w:r w:rsidR="00A9189C">
        <w:t xml:space="preserve"> Department of </w:t>
      </w:r>
      <w:r w:rsidR="007F486D">
        <w:t>Energy</w:t>
      </w:r>
      <w:r w:rsidR="00A9189C">
        <w:t xml:space="preserve">, </w:t>
      </w:r>
      <w:r w:rsidR="007F486D">
        <w:t>Environment and Climate Action’s (DEECA)</w:t>
      </w:r>
      <w:r>
        <w:t xml:space="preserve"> consultation regarding</w:t>
      </w:r>
      <w:r w:rsidR="00AB305E">
        <w:t xml:space="preserve"> implementation of the telemarketing and doorknocking ban for</w:t>
      </w:r>
      <w:r>
        <w:t xml:space="preserve"> the Victorian Energy Upgrades (VEU) program</w:t>
      </w:r>
      <w:r w:rsidR="00AB305E">
        <w:t xml:space="preserve">. </w:t>
      </w:r>
    </w:p>
    <w:p w14:paraId="57D74F9E" w14:textId="50EE9D1F" w:rsidR="00AB305E" w:rsidRDefault="417662D6" w:rsidP="008E5514">
      <w:r>
        <w:t xml:space="preserve">Consumer Action reaffirms our strong support of the implementation of this ban, as an important step in addressing the consumer harm that unsolicited sales </w:t>
      </w:r>
      <w:r w:rsidR="06148413">
        <w:t>practices</w:t>
      </w:r>
      <w:r>
        <w:t xml:space="preserve"> can cause. </w:t>
      </w:r>
      <w:r w:rsidR="27E6887B">
        <w:t xml:space="preserve">Recent trends on our frontline services indicate a concerning growth in door-to-door sales of new energy technology (solar panels) and </w:t>
      </w:r>
      <w:r w:rsidR="1E3555D0">
        <w:t xml:space="preserve">the use of </w:t>
      </w:r>
      <w:r w:rsidR="27E6887B">
        <w:t xml:space="preserve">improper </w:t>
      </w:r>
      <w:r w:rsidR="33C4FFED">
        <w:t>high-pressure sales tactics.</w:t>
      </w:r>
      <w:r w:rsidR="27E6887B">
        <w:t xml:space="preserve"> </w:t>
      </w:r>
      <w:r>
        <w:t xml:space="preserve">As Victorian consumers are increasingly turning to renewable and sustainable energy sources, it is crucial that strong consumer protections </w:t>
      </w:r>
      <w:r w:rsidR="438EED25">
        <w:t>are</w:t>
      </w:r>
      <w:r>
        <w:t xml:space="preserve"> </w:t>
      </w:r>
      <w:r w:rsidR="06148413">
        <w:t>upheld</w:t>
      </w:r>
      <w:r w:rsidR="23B282C5">
        <w:t xml:space="preserve"> as quickly and effectively as possible</w:t>
      </w:r>
      <w:r>
        <w:t xml:space="preserve"> as part of the energy transition. </w:t>
      </w:r>
    </w:p>
    <w:p w14:paraId="2069ED3E" w14:textId="77777777" w:rsidR="004935A5" w:rsidRDefault="005823EF" w:rsidP="004B75B9">
      <w:r>
        <w:t>In our previous submission</w:t>
      </w:r>
      <w:r>
        <w:rPr>
          <w:rStyle w:val="FootnoteReference"/>
        </w:rPr>
        <w:footnoteReference w:id="2"/>
      </w:r>
      <w:r>
        <w:t xml:space="preserve">, Consumer Action has outlined three key recommendations that extend the VEU program objectives in improving consumer trust and engagement in renewable energy, assisting Victorians in reducing their greenhouse gas emissions and saving on their energy bills; and providing best sales practices to Victorians in line with consumer protections. </w:t>
      </w:r>
      <w:r w:rsidR="001B4CDB">
        <w:t xml:space="preserve">These recommendations </w:t>
      </w:r>
      <w:r w:rsidR="00DA4C62">
        <w:t xml:space="preserve">are best in line with the proposed Option B outlined in DEECA’s Regulatory Impact Statement (RIS). </w:t>
      </w:r>
    </w:p>
    <w:p w14:paraId="250E8804" w14:textId="6162612B" w:rsidR="004B75B9" w:rsidRDefault="00DA4C62" w:rsidP="004B75B9">
      <w:r>
        <w:t xml:space="preserve">Further </w:t>
      </w:r>
      <w:r w:rsidR="004935A5">
        <w:t>comment on our support for this option is outlined in this submission</w:t>
      </w:r>
      <w:r w:rsidR="00625325">
        <w:t>.</w:t>
      </w:r>
      <w:r w:rsidR="004B75B9">
        <w:t xml:space="preserve"> </w:t>
      </w:r>
    </w:p>
    <w:p w14:paraId="3309D4E9" w14:textId="77777777" w:rsidR="004935A5" w:rsidRDefault="0089105C" w:rsidP="00A57775">
      <w:pPr>
        <w:rPr>
          <w:b/>
          <w:bCs/>
        </w:rPr>
      </w:pPr>
      <w:r>
        <w:br/>
      </w:r>
    </w:p>
    <w:p w14:paraId="133769F0" w14:textId="77777777" w:rsidR="004935A5" w:rsidRDefault="004935A5">
      <w:pPr>
        <w:spacing w:after="160" w:line="259" w:lineRule="auto"/>
        <w:jc w:val="left"/>
        <w:rPr>
          <w:b/>
          <w:bCs/>
        </w:rPr>
      </w:pPr>
      <w:r>
        <w:rPr>
          <w:b/>
          <w:bCs/>
        </w:rPr>
        <w:br w:type="page"/>
      </w:r>
    </w:p>
    <w:p w14:paraId="09027478" w14:textId="1B39CB42" w:rsidR="00A57775" w:rsidRDefault="0089105C" w:rsidP="00853E48">
      <w:pPr>
        <w:pStyle w:val="Heading1"/>
      </w:pPr>
      <w:bookmarkStart w:id="0" w:name="_Toc161212545"/>
      <w:r>
        <w:t>Overview</w:t>
      </w:r>
      <w:bookmarkEnd w:id="0"/>
    </w:p>
    <w:p w14:paraId="11B5F584" w14:textId="19FA15A9" w:rsidR="00FB4E1B" w:rsidRDefault="008271FE" w:rsidP="00A57775">
      <w:r>
        <w:t xml:space="preserve">Telemarketing and doorknocking </w:t>
      </w:r>
      <w:r w:rsidR="00E7354B">
        <w:t xml:space="preserve">practices have </w:t>
      </w:r>
      <w:r w:rsidR="00ED61EC">
        <w:t xml:space="preserve">been consistently linked to unsolicited </w:t>
      </w:r>
      <w:r w:rsidR="001817BE">
        <w:t xml:space="preserve">and unfair sales practices causing consumer harm. </w:t>
      </w:r>
      <w:r w:rsidR="00C06D6C">
        <w:t>Since our initial paper in 2007</w:t>
      </w:r>
      <w:r w:rsidR="00C06D6C">
        <w:rPr>
          <w:rStyle w:val="FootnoteReference"/>
        </w:rPr>
        <w:footnoteReference w:id="3"/>
      </w:r>
      <w:r w:rsidR="008F3345">
        <w:t xml:space="preserve">, </w:t>
      </w:r>
      <w:r w:rsidR="001817BE">
        <w:t xml:space="preserve">Consumer Action </w:t>
      </w:r>
      <w:r w:rsidR="00BF7EE4">
        <w:t>has</w:t>
      </w:r>
      <w:r w:rsidR="001817BE">
        <w:t xml:space="preserve"> long identified the</w:t>
      </w:r>
      <w:r w:rsidR="00544177">
        <w:t xml:space="preserve"> risks with these </w:t>
      </w:r>
      <w:proofErr w:type="gramStart"/>
      <w:r w:rsidR="00544177">
        <w:t>practices</w:t>
      </w:r>
      <w:r w:rsidR="00A678F0">
        <w:t>, and</w:t>
      </w:r>
      <w:proofErr w:type="gramEnd"/>
      <w:r w:rsidR="00A678F0">
        <w:t xml:space="preserve"> provided recommendations to ban telemarketing and door-knocking </w:t>
      </w:r>
      <w:r w:rsidR="00D259D3">
        <w:t>sales practices across Victoria</w:t>
      </w:r>
      <w:r w:rsidR="008C49FE">
        <w:rPr>
          <w:rStyle w:val="FootnoteReference"/>
        </w:rPr>
        <w:footnoteReference w:id="4"/>
      </w:r>
      <w:r w:rsidR="00D259D3">
        <w:t xml:space="preserve">, as an integral step in ensuring a just and fair market for consumers. </w:t>
      </w:r>
    </w:p>
    <w:p w14:paraId="4B15DBBE" w14:textId="223DDBDC" w:rsidR="00B41B25" w:rsidRDefault="002F7117" w:rsidP="00A57775">
      <w:r>
        <w:t>C</w:t>
      </w:r>
      <w:r w:rsidR="00547F17">
        <w:t xml:space="preserve">old-calling and doorknocking have </w:t>
      </w:r>
      <w:r>
        <w:t>no place in a fair and just market</w:t>
      </w:r>
      <w:r w:rsidR="00EA65EE">
        <w:t xml:space="preserve">. In addition to the potential facilitation of consumer harm, they also pose a risk to the reputation </w:t>
      </w:r>
      <w:r w:rsidR="0053101A">
        <w:t xml:space="preserve">and understanding of the Victorian Energy Upgrades program, as part of Victoria’s </w:t>
      </w:r>
      <w:r w:rsidR="00EA65EE">
        <w:t xml:space="preserve">continued progress </w:t>
      </w:r>
      <w:r w:rsidR="0053101A">
        <w:t xml:space="preserve">towards a just and equitable transition to renewable energy. </w:t>
      </w:r>
    </w:p>
    <w:p w14:paraId="363DD6BE" w14:textId="2D6BE4A6" w:rsidR="0053101A" w:rsidRPr="00197A93" w:rsidRDefault="0093065F" w:rsidP="00A57775">
      <w:r>
        <w:t>In the initial consultation, Consumer Action</w:t>
      </w:r>
      <w:r w:rsidR="00A65EF6">
        <w:t xml:space="preserve"> </w:t>
      </w:r>
      <w:r>
        <w:t>outlined our support for a</w:t>
      </w:r>
      <w:r w:rsidR="00A65EF6">
        <w:t xml:space="preserve"> comprehensive ban on both telemarketing and door knocking, to be enacted within three months.</w:t>
      </w:r>
      <w:r w:rsidR="006832A8">
        <w:t xml:space="preserve"> </w:t>
      </w:r>
      <w:r w:rsidR="002A6C38">
        <w:t>We continue to support the implementation of this ban across all forms of renewable energy product</w:t>
      </w:r>
      <w:r w:rsidR="0079547E">
        <w:t>s. The VEU program has the opportunity to set the best practice standard</w:t>
      </w:r>
      <w:r w:rsidR="009F4FF7">
        <w:t xml:space="preserve"> with the implementation of a clear, blanket ban on both telemarketing and doorknocking from May 1</w:t>
      </w:r>
      <w:r w:rsidR="009F4FF7" w:rsidRPr="009F4FF7">
        <w:rPr>
          <w:vertAlign w:val="superscript"/>
        </w:rPr>
        <w:t>st</w:t>
      </w:r>
      <w:proofErr w:type="gramStart"/>
      <w:r w:rsidR="009F4FF7">
        <w:t xml:space="preserve"> 2024</w:t>
      </w:r>
      <w:proofErr w:type="gramEnd"/>
      <w:r w:rsidR="009F4FF7">
        <w:t xml:space="preserve">. </w:t>
      </w:r>
    </w:p>
    <w:p w14:paraId="4C34B74B" w14:textId="77777777" w:rsidR="002B3122" w:rsidRDefault="002B3122" w:rsidP="000B6265"/>
    <w:p w14:paraId="1D68A0C6" w14:textId="77777777" w:rsidR="00D26C4E" w:rsidRDefault="00D26C4E" w:rsidP="000B6265"/>
    <w:p w14:paraId="51EC8E51" w14:textId="77777777" w:rsidR="00D26C4E" w:rsidRDefault="00D26C4E" w:rsidP="000B6265"/>
    <w:p w14:paraId="7B1C90B7" w14:textId="77777777" w:rsidR="00D26C4E" w:rsidRDefault="00D26C4E" w:rsidP="000B6265"/>
    <w:p w14:paraId="11E8ADC6" w14:textId="77777777" w:rsidR="00D26C4E" w:rsidRDefault="00D26C4E" w:rsidP="000B6265"/>
    <w:p w14:paraId="265F50FC" w14:textId="77777777" w:rsidR="00D26C4E" w:rsidRDefault="00D26C4E" w:rsidP="000B6265"/>
    <w:p w14:paraId="31B29509" w14:textId="77777777" w:rsidR="00D26C4E" w:rsidRDefault="00D26C4E" w:rsidP="000B6265">
      <w:r>
        <w:rPr>
          <w:noProof/>
        </w:rPr>
        <mc:AlternateContent>
          <mc:Choice Requires="wps">
            <w:drawing>
              <wp:anchor distT="45720" distB="45720" distL="114300" distR="114300" simplePos="0" relativeHeight="251658240" behindDoc="0" locked="0" layoutInCell="1" allowOverlap="1" wp14:anchorId="4FF04D0C" wp14:editId="50C896F5">
                <wp:simplePos x="0" y="0"/>
                <wp:positionH relativeFrom="column">
                  <wp:posOffset>3810</wp:posOffset>
                </wp:positionH>
                <wp:positionV relativeFrom="page">
                  <wp:posOffset>7870496</wp:posOffset>
                </wp:positionV>
                <wp:extent cx="6477000" cy="1906270"/>
                <wp:effectExtent l="0" t="0" r="0" b="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906270"/>
                        </a:xfrm>
                        <a:prstGeom prst="rect">
                          <a:avLst/>
                        </a:prstGeom>
                        <a:noFill/>
                        <a:ln w="9525">
                          <a:noFill/>
                          <a:miter lim="800000"/>
                          <a:headEnd/>
                          <a:tailEnd/>
                        </a:ln>
                      </wps:spPr>
                      <wps:txbx>
                        <w:txbxContent>
                          <w:p w14:paraId="0DA17D17" w14:textId="77777777" w:rsidR="002B3122" w:rsidRDefault="002B3122" w:rsidP="002B3122">
                            <w:pPr>
                              <w:pStyle w:val="Heading1"/>
                            </w:pPr>
                            <w:bookmarkStart w:id="1" w:name="_Toc161212546"/>
                            <w:r>
                              <w:t>About Consumer Action</w:t>
                            </w:r>
                            <w:bookmarkEnd w:id="1"/>
                          </w:p>
                          <w:p w14:paraId="07488CD0" w14:textId="77777777" w:rsidR="002B3122" w:rsidRDefault="002B3122" w:rsidP="002B3122">
                            <w:r>
                              <w:t xml:space="preserve">Consumer Action is an independent, not-for profit consumer organisation with deep expertise in consumer and consumer credit laws, </w:t>
                            </w:r>
                            <w:proofErr w:type="gramStart"/>
                            <w:r>
                              <w:t>policy</w:t>
                            </w:r>
                            <w:proofErr w:type="gramEnd"/>
                            <w:r>
                              <w:t xml:space="preserve"> and direct knowledge of people's experience of modern markets. We work for a just marketplace, where people have power and business plays fair. We make life easier for people experiencing vulnerability and disadvantage in Australia, through financial counselling, legal advice, legal representation, policy work and campaigns. Based in Melbourne, our direct services assist </w:t>
                            </w:r>
                            <w:proofErr w:type="gramStart"/>
                            <w:r>
                              <w:t>Victorians</w:t>
                            </w:r>
                            <w:proofErr w:type="gramEnd"/>
                            <w:r>
                              <w:t xml:space="preserve"> and our advocacy supports a just marketplace for all Australians.</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F04D0C" id="_x0000_t202" coordsize="21600,21600" o:spt="202" path="m,l,21600r21600,l21600,xe">
                <v:stroke joinstyle="miter"/>
                <v:path gradientshapeok="t" o:connecttype="rect"/>
              </v:shapetype>
              <v:shape id="Text Box 2" o:spid="_x0000_s1026" type="#_x0000_t202" style="position:absolute;left:0;text-align:left;margin-left:.3pt;margin-top:619.7pt;width:510pt;height:150.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" filled="f" stroked="f">
                <v:textbox style="mso-fit-shape-to-text:t" inset="0,,0">
                  <w:txbxContent>
                    <w:p w14:paraId="0DA17D17" w14:textId="77777777" w:rsidR="002B3122" w:rsidRDefault="002B3122" w:rsidP="002B3122">
                      <w:pPr>
                        <w:pStyle w:val="Heading1"/>
                      </w:pPr>
                      <w:bookmarkStart w:id="2" w:name="_Toc161212546"/>
                      <w:r>
                        <w:t>About Consumer Action</w:t>
                      </w:r>
                      <w:bookmarkEnd w:id="2"/>
                    </w:p>
                    <w:p w14:paraId="07488CD0" w14:textId="77777777" w:rsidR="002B3122" w:rsidRDefault="002B3122" w:rsidP="002B3122">
                      <w:r>
                        <w:t xml:space="preserve">Consumer Action is an independent, not-for profit consumer organisation with deep expertise in consumer and consumer credit laws, </w:t>
                      </w:r>
                      <w:proofErr w:type="gramStart"/>
                      <w:r>
                        <w:t>policy</w:t>
                      </w:r>
                      <w:proofErr w:type="gramEnd"/>
                      <w:r>
                        <w:t xml:space="preserve"> and direct knowledge of people's experience of modern markets. We work for a just marketplace, where people have power and business plays fair. We make life easier for people experiencing vulnerability and disadvantage in Australia, through financial counselling, legal advice, legal representation, policy work and campaigns. Based in Melbourne, our direct services assist </w:t>
                      </w:r>
                      <w:proofErr w:type="gramStart"/>
                      <w:r>
                        <w:t>Victorians</w:t>
                      </w:r>
                      <w:proofErr w:type="gramEnd"/>
                      <w:r>
                        <w:t xml:space="preserve"> and our advocacy supports a just marketplace for all Australians.</w:t>
                      </w:r>
                    </w:p>
                  </w:txbxContent>
                </v:textbox>
                <w10:wrap type="topAndBottom" anchory="page"/>
              </v:shape>
            </w:pict>
          </mc:Fallback>
        </mc:AlternateContent>
      </w:r>
    </w:p>
    <w:p w14:paraId="2B0C4AAB" w14:textId="77777777" w:rsidR="00D26C4E" w:rsidRDefault="00D26C4E" w:rsidP="000B6265">
      <w:r>
        <w:br w:type="page"/>
      </w:r>
    </w:p>
    <w:sdt>
      <w:sdtPr>
        <w:rPr>
          <w:rFonts w:eastAsiaTheme="minorEastAsia" w:cstheme="minorBidi"/>
          <w:b w:val="0"/>
          <w:caps w:val="0"/>
          <w:color w:val="000000" w:themeColor="text1"/>
          <w:sz w:val="22"/>
          <w:szCs w:val="22"/>
          <w:lang w:val="en-GB" w:eastAsia="ja-JP"/>
        </w:rPr>
        <w:id w:val="565919468"/>
        <w:docPartObj>
          <w:docPartGallery w:val="Table of Contents"/>
          <w:docPartUnique/>
        </w:docPartObj>
      </w:sdtPr>
      <w:sdtEndPr>
        <w:rPr>
          <w:noProof/>
          <w:lang w:val="en-AU"/>
        </w:rPr>
      </w:sdtEndPr>
      <w:sdtContent>
        <w:p w14:paraId="11995824" w14:textId="77777777" w:rsidR="00B056C9" w:rsidRDefault="00B056C9">
          <w:pPr>
            <w:pStyle w:val="TOCHeading"/>
          </w:pPr>
          <w:r>
            <w:t>Table of Contents</w:t>
          </w:r>
        </w:p>
        <w:p w14:paraId="62E4B3A2" w14:textId="39AE1581" w:rsidR="00C619D1" w:rsidRDefault="00B056C9">
          <w:pPr>
            <w:pStyle w:val="TOC1"/>
            <w:tabs>
              <w:tab w:val="right" w:leader="dot" w:pos="10194"/>
            </w:tabs>
            <w:rPr>
              <w:rFonts w:asciiTheme="minorHAnsi" w:hAnsiTheme="minorHAnsi"/>
              <w:b w:val="0"/>
              <w:noProof/>
              <w:color w:val="auto"/>
              <w:kern w:val="2"/>
              <w:szCs w:val="24"/>
              <w:lang w:eastAsia="en-AU"/>
              <w14:ligatures w14:val="standardContextual"/>
            </w:rPr>
          </w:pPr>
          <w:r>
            <w:fldChar w:fldCharType="begin"/>
          </w:r>
          <w:r>
            <w:instrText xml:space="preserve"> TOC \o "1-3" \h \z \u </w:instrText>
          </w:r>
          <w:r>
            <w:fldChar w:fldCharType="separate"/>
          </w:r>
          <w:hyperlink w:anchor="_Toc161212545" w:history="1">
            <w:r w:rsidR="00C619D1" w:rsidRPr="00C6658B">
              <w:rPr>
                <w:rStyle w:val="Hyperlink"/>
                <w:noProof/>
              </w:rPr>
              <w:t>Overview</w:t>
            </w:r>
            <w:r w:rsidR="00C619D1">
              <w:rPr>
                <w:noProof/>
                <w:webHidden/>
              </w:rPr>
              <w:tab/>
            </w:r>
            <w:r w:rsidR="00C619D1">
              <w:rPr>
                <w:noProof/>
                <w:webHidden/>
              </w:rPr>
              <w:fldChar w:fldCharType="begin"/>
            </w:r>
            <w:r w:rsidR="00C619D1">
              <w:rPr>
                <w:noProof/>
                <w:webHidden/>
              </w:rPr>
              <w:instrText xml:space="preserve"> PAGEREF _Toc161212545 \h </w:instrText>
            </w:r>
            <w:r w:rsidR="00C619D1">
              <w:rPr>
                <w:noProof/>
                <w:webHidden/>
              </w:rPr>
            </w:r>
            <w:r w:rsidR="00C619D1">
              <w:rPr>
                <w:noProof/>
                <w:webHidden/>
              </w:rPr>
              <w:fldChar w:fldCharType="separate"/>
            </w:r>
            <w:r w:rsidR="00BA2E68">
              <w:rPr>
                <w:noProof/>
                <w:webHidden/>
              </w:rPr>
              <w:t>2</w:t>
            </w:r>
            <w:r w:rsidR="00C619D1">
              <w:rPr>
                <w:noProof/>
                <w:webHidden/>
              </w:rPr>
              <w:fldChar w:fldCharType="end"/>
            </w:r>
          </w:hyperlink>
        </w:p>
        <w:p w14:paraId="7ACC2B82" w14:textId="36E77D8C" w:rsidR="00C619D1" w:rsidRDefault="005E00A8">
          <w:pPr>
            <w:pStyle w:val="TOC1"/>
            <w:tabs>
              <w:tab w:val="right" w:leader="dot" w:pos="10194"/>
            </w:tabs>
            <w:rPr>
              <w:rFonts w:asciiTheme="minorHAnsi" w:hAnsiTheme="minorHAnsi"/>
              <w:b w:val="0"/>
              <w:noProof/>
              <w:color w:val="auto"/>
              <w:kern w:val="2"/>
              <w:szCs w:val="24"/>
              <w:lang w:eastAsia="en-AU"/>
              <w14:ligatures w14:val="standardContextual"/>
            </w:rPr>
          </w:pPr>
          <w:hyperlink w:anchor="_Toc161212546" w:history="1">
            <w:r w:rsidR="00C619D1" w:rsidRPr="00C6658B">
              <w:rPr>
                <w:rStyle w:val="Hyperlink"/>
                <w:noProof/>
              </w:rPr>
              <w:t>About Consumer Action</w:t>
            </w:r>
            <w:r w:rsidR="00C619D1">
              <w:rPr>
                <w:noProof/>
                <w:webHidden/>
              </w:rPr>
              <w:tab/>
            </w:r>
            <w:r w:rsidR="00C619D1">
              <w:rPr>
                <w:noProof/>
                <w:webHidden/>
              </w:rPr>
              <w:fldChar w:fldCharType="begin"/>
            </w:r>
            <w:r w:rsidR="00C619D1">
              <w:rPr>
                <w:noProof/>
                <w:webHidden/>
              </w:rPr>
              <w:instrText xml:space="preserve"> PAGEREF _Toc161212546 \h </w:instrText>
            </w:r>
            <w:r w:rsidR="00C619D1">
              <w:rPr>
                <w:noProof/>
                <w:webHidden/>
              </w:rPr>
            </w:r>
            <w:r w:rsidR="00C619D1">
              <w:rPr>
                <w:noProof/>
                <w:webHidden/>
              </w:rPr>
              <w:fldChar w:fldCharType="separate"/>
            </w:r>
            <w:r w:rsidR="00BA2E68">
              <w:rPr>
                <w:noProof/>
                <w:webHidden/>
              </w:rPr>
              <w:t>2</w:t>
            </w:r>
            <w:r w:rsidR="00C619D1">
              <w:rPr>
                <w:noProof/>
                <w:webHidden/>
              </w:rPr>
              <w:fldChar w:fldCharType="end"/>
            </w:r>
          </w:hyperlink>
        </w:p>
        <w:p w14:paraId="05AE1C62" w14:textId="3F6A2AED" w:rsidR="00C619D1" w:rsidRDefault="005E00A8">
          <w:pPr>
            <w:pStyle w:val="TOC1"/>
            <w:tabs>
              <w:tab w:val="right" w:leader="dot" w:pos="10194"/>
            </w:tabs>
            <w:rPr>
              <w:rFonts w:asciiTheme="minorHAnsi" w:hAnsiTheme="minorHAnsi"/>
              <w:b w:val="0"/>
              <w:noProof/>
              <w:color w:val="auto"/>
              <w:kern w:val="2"/>
              <w:szCs w:val="24"/>
              <w:lang w:eastAsia="en-AU"/>
              <w14:ligatures w14:val="standardContextual"/>
            </w:rPr>
          </w:pPr>
          <w:hyperlink w:anchor="_Toc161212547" w:history="1">
            <w:r w:rsidR="00C619D1" w:rsidRPr="00C6658B">
              <w:rPr>
                <w:rStyle w:val="Hyperlink"/>
                <w:noProof/>
              </w:rPr>
              <w:t>Response to feedback survey on preferred ban options</w:t>
            </w:r>
            <w:r w:rsidR="00C619D1">
              <w:rPr>
                <w:noProof/>
                <w:webHidden/>
              </w:rPr>
              <w:tab/>
            </w:r>
            <w:r w:rsidR="00C619D1">
              <w:rPr>
                <w:noProof/>
                <w:webHidden/>
              </w:rPr>
              <w:fldChar w:fldCharType="begin"/>
            </w:r>
            <w:r w:rsidR="00C619D1">
              <w:rPr>
                <w:noProof/>
                <w:webHidden/>
              </w:rPr>
              <w:instrText xml:space="preserve"> PAGEREF _Toc161212547 \h </w:instrText>
            </w:r>
            <w:r w:rsidR="00C619D1">
              <w:rPr>
                <w:noProof/>
                <w:webHidden/>
              </w:rPr>
            </w:r>
            <w:r w:rsidR="00C619D1">
              <w:rPr>
                <w:noProof/>
                <w:webHidden/>
              </w:rPr>
              <w:fldChar w:fldCharType="separate"/>
            </w:r>
            <w:r w:rsidR="00BA2E68">
              <w:rPr>
                <w:noProof/>
                <w:webHidden/>
              </w:rPr>
              <w:t>4</w:t>
            </w:r>
            <w:r w:rsidR="00C619D1">
              <w:rPr>
                <w:noProof/>
                <w:webHidden/>
              </w:rPr>
              <w:fldChar w:fldCharType="end"/>
            </w:r>
          </w:hyperlink>
        </w:p>
        <w:p w14:paraId="03837C59" w14:textId="2C747A46" w:rsidR="00C619D1" w:rsidRDefault="005E00A8">
          <w:pPr>
            <w:pStyle w:val="TOC2"/>
            <w:tabs>
              <w:tab w:val="right" w:leader="dot" w:pos="10194"/>
            </w:tabs>
            <w:rPr>
              <w:rFonts w:asciiTheme="minorHAnsi" w:hAnsiTheme="minorHAnsi"/>
              <w:b w:val="0"/>
              <w:noProof/>
              <w:color w:val="auto"/>
              <w:kern w:val="2"/>
              <w:sz w:val="24"/>
              <w:szCs w:val="24"/>
              <w:lang w:eastAsia="en-AU"/>
              <w14:ligatures w14:val="standardContextual"/>
            </w:rPr>
          </w:pPr>
          <w:hyperlink w:anchor="_Toc161212548" w:history="1">
            <w:r w:rsidR="00C619D1" w:rsidRPr="00C6658B">
              <w:rPr>
                <w:rStyle w:val="Hyperlink"/>
                <w:noProof/>
              </w:rPr>
              <w:t>Option B: Combined ban on telemarketing and doorknocking as the preferred ban option</w:t>
            </w:r>
            <w:r w:rsidR="00C619D1">
              <w:rPr>
                <w:noProof/>
                <w:webHidden/>
              </w:rPr>
              <w:tab/>
            </w:r>
            <w:r w:rsidR="00C619D1">
              <w:rPr>
                <w:noProof/>
                <w:webHidden/>
              </w:rPr>
              <w:fldChar w:fldCharType="begin"/>
            </w:r>
            <w:r w:rsidR="00C619D1">
              <w:rPr>
                <w:noProof/>
                <w:webHidden/>
              </w:rPr>
              <w:instrText xml:space="preserve"> PAGEREF _Toc161212548 \h </w:instrText>
            </w:r>
            <w:r w:rsidR="00C619D1">
              <w:rPr>
                <w:noProof/>
                <w:webHidden/>
              </w:rPr>
            </w:r>
            <w:r w:rsidR="00C619D1">
              <w:rPr>
                <w:noProof/>
                <w:webHidden/>
              </w:rPr>
              <w:fldChar w:fldCharType="separate"/>
            </w:r>
            <w:r w:rsidR="00BA2E68">
              <w:rPr>
                <w:noProof/>
                <w:webHidden/>
              </w:rPr>
              <w:t>4</w:t>
            </w:r>
            <w:r w:rsidR="00C619D1">
              <w:rPr>
                <w:noProof/>
                <w:webHidden/>
              </w:rPr>
              <w:fldChar w:fldCharType="end"/>
            </w:r>
          </w:hyperlink>
        </w:p>
        <w:p w14:paraId="66462444" w14:textId="516F76DD" w:rsidR="00C619D1" w:rsidRDefault="005E00A8">
          <w:pPr>
            <w:pStyle w:val="TOC2"/>
            <w:tabs>
              <w:tab w:val="left" w:pos="720"/>
              <w:tab w:val="right" w:leader="dot" w:pos="10194"/>
            </w:tabs>
            <w:rPr>
              <w:rFonts w:asciiTheme="minorHAnsi" w:hAnsiTheme="minorHAnsi"/>
              <w:b w:val="0"/>
              <w:noProof/>
              <w:color w:val="auto"/>
              <w:kern w:val="2"/>
              <w:sz w:val="24"/>
              <w:szCs w:val="24"/>
              <w:lang w:eastAsia="en-AU"/>
              <w14:ligatures w14:val="standardContextual"/>
            </w:rPr>
          </w:pPr>
          <w:hyperlink w:anchor="_Toc161212549" w:history="1">
            <w:r w:rsidR="00C619D1" w:rsidRPr="00C6658B">
              <w:rPr>
                <w:rStyle w:val="Hyperlink"/>
                <w:noProof/>
              </w:rPr>
              <w:t>1.</w:t>
            </w:r>
            <w:r w:rsidR="00C619D1">
              <w:rPr>
                <w:rFonts w:asciiTheme="minorHAnsi" w:hAnsiTheme="minorHAnsi"/>
                <w:b w:val="0"/>
                <w:noProof/>
                <w:color w:val="auto"/>
                <w:kern w:val="2"/>
                <w:sz w:val="24"/>
                <w:szCs w:val="24"/>
                <w:lang w:eastAsia="en-AU"/>
                <w14:ligatures w14:val="standardContextual"/>
              </w:rPr>
              <w:tab/>
            </w:r>
            <w:r w:rsidR="00C619D1" w:rsidRPr="00C6658B">
              <w:rPr>
                <w:rStyle w:val="Hyperlink"/>
                <w:noProof/>
              </w:rPr>
              <w:t>Simple and easily understood</w:t>
            </w:r>
            <w:r w:rsidR="00C619D1">
              <w:rPr>
                <w:noProof/>
                <w:webHidden/>
              </w:rPr>
              <w:tab/>
            </w:r>
            <w:r w:rsidR="00C619D1">
              <w:rPr>
                <w:noProof/>
                <w:webHidden/>
              </w:rPr>
              <w:fldChar w:fldCharType="begin"/>
            </w:r>
            <w:r w:rsidR="00C619D1">
              <w:rPr>
                <w:noProof/>
                <w:webHidden/>
              </w:rPr>
              <w:instrText xml:space="preserve"> PAGEREF _Toc161212549 \h </w:instrText>
            </w:r>
            <w:r w:rsidR="00C619D1">
              <w:rPr>
                <w:noProof/>
                <w:webHidden/>
              </w:rPr>
            </w:r>
            <w:r w:rsidR="00C619D1">
              <w:rPr>
                <w:noProof/>
                <w:webHidden/>
              </w:rPr>
              <w:fldChar w:fldCharType="separate"/>
            </w:r>
            <w:r w:rsidR="00BA2E68">
              <w:rPr>
                <w:noProof/>
                <w:webHidden/>
              </w:rPr>
              <w:t>4</w:t>
            </w:r>
            <w:r w:rsidR="00C619D1">
              <w:rPr>
                <w:noProof/>
                <w:webHidden/>
              </w:rPr>
              <w:fldChar w:fldCharType="end"/>
            </w:r>
          </w:hyperlink>
        </w:p>
        <w:p w14:paraId="2BEA3EEA" w14:textId="1310D179" w:rsidR="00C619D1" w:rsidRDefault="005E00A8">
          <w:pPr>
            <w:pStyle w:val="TOC2"/>
            <w:tabs>
              <w:tab w:val="left" w:pos="720"/>
              <w:tab w:val="right" w:leader="dot" w:pos="10194"/>
            </w:tabs>
            <w:rPr>
              <w:rFonts w:asciiTheme="minorHAnsi" w:hAnsiTheme="minorHAnsi"/>
              <w:b w:val="0"/>
              <w:noProof/>
              <w:color w:val="auto"/>
              <w:kern w:val="2"/>
              <w:sz w:val="24"/>
              <w:szCs w:val="24"/>
              <w:lang w:eastAsia="en-AU"/>
              <w14:ligatures w14:val="standardContextual"/>
            </w:rPr>
          </w:pPr>
          <w:hyperlink w:anchor="_Toc161212550" w:history="1">
            <w:r w:rsidR="00C619D1" w:rsidRPr="00C6658B">
              <w:rPr>
                <w:rStyle w:val="Hyperlink"/>
                <w:noProof/>
              </w:rPr>
              <w:t>2.</w:t>
            </w:r>
            <w:r w:rsidR="00C619D1">
              <w:rPr>
                <w:rFonts w:asciiTheme="minorHAnsi" w:hAnsiTheme="minorHAnsi"/>
                <w:b w:val="0"/>
                <w:noProof/>
                <w:color w:val="auto"/>
                <w:kern w:val="2"/>
                <w:sz w:val="24"/>
                <w:szCs w:val="24"/>
                <w:lang w:eastAsia="en-AU"/>
                <w14:ligatures w14:val="standardContextual"/>
              </w:rPr>
              <w:tab/>
            </w:r>
            <w:r w:rsidR="00C619D1" w:rsidRPr="00C6658B">
              <w:rPr>
                <w:rStyle w:val="Hyperlink"/>
                <w:noProof/>
              </w:rPr>
              <w:t>Effective and consistent implementation</w:t>
            </w:r>
            <w:r w:rsidR="00C619D1">
              <w:rPr>
                <w:noProof/>
                <w:webHidden/>
              </w:rPr>
              <w:tab/>
            </w:r>
            <w:r w:rsidR="00C619D1">
              <w:rPr>
                <w:noProof/>
                <w:webHidden/>
              </w:rPr>
              <w:fldChar w:fldCharType="begin"/>
            </w:r>
            <w:r w:rsidR="00C619D1">
              <w:rPr>
                <w:noProof/>
                <w:webHidden/>
              </w:rPr>
              <w:instrText xml:space="preserve"> PAGEREF _Toc161212550 \h </w:instrText>
            </w:r>
            <w:r w:rsidR="00C619D1">
              <w:rPr>
                <w:noProof/>
                <w:webHidden/>
              </w:rPr>
            </w:r>
            <w:r w:rsidR="00C619D1">
              <w:rPr>
                <w:noProof/>
                <w:webHidden/>
              </w:rPr>
              <w:fldChar w:fldCharType="separate"/>
            </w:r>
            <w:r w:rsidR="00BA2E68">
              <w:rPr>
                <w:noProof/>
                <w:webHidden/>
              </w:rPr>
              <w:t>4</w:t>
            </w:r>
            <w:r w:rsidR="00C619D1">
              <w:rPr>
                <w:noProof/>
                <w:webHidden/>
              </w:rPr>
              <w:fldChar w:fldCharType="end"/>
            </w:r>
          </w:hyperlink>
        </w:p>
        <w:p w14:paraId="547C544C" w14:textId="596D39A2" w:rsidR="00C619D1" w:rsidRDefault="005E00A8">
          <w:pPr>
            <w:pStyle w:val="TOC2"/>
            <w:tabs>
              <w:tab w:val="left" w:pos="720"/>
              <w:tab w:val="right" w:leader="dot" w:pos="10194"/>
            </w:tabs>
            <w:rPr>
              <w:rFonts w:asciiTheme="minorHAnsi" w:hAnsiTheme="minorHAnsi"/>
              <w:b w:val="0"/>
              <w:noProof/>
              <w:color w:val="auto"/>
              <w:kern w:val="2"/>
              <w:sz w:val="24"/>
              <w:szCs w:val="24"/>
              <w:lang w:eastAsia="en-AU"/>
              <w14:ligatures w14:val="standardContextual"/>
            </w:rPr>
          </w:pPr>
          <w:hyperlink w:anchor="_Toc161212551" w:history="1">
            <w:r w:rsidR="00C619D1" w:rsidRPr="00C6658B">
              <w:rPr>
                <w:rStyle w:val="Hyperlink"/>
                <w:noProof/>
              </w:rPr>
              <w:t>3.</w:t>
            </w:r>
            <w:r w:rsidR="00C619D1">
              <w:rPr>
                <w:rFonts w:asciiTheme="minorHAnsi" w:hAnsiTheme="minorHAnsi"/>
                <w:b w:val="0"/>
                <w:noProof/>
                <w:color w:val="auto"/>
                <w:kern w:val="2"/>
                <w:sz w:val="24"/>
                <w:szCs w:val="24"/>
                <w:lang w:eastAsia="en-AU"/>
                <w14:ligatures w14:val="standardContextual"/>
              </w:rPr>
              <w:tab/>
            </w:r>
            <w:r w:rsidR="00C619D1" w:rsidRPr="00C6658B">
              <w:rPr>
                <w:rStyle w:val="Hyperlink"/>
                <w:noProof/>
              </w:rPr>
              <w:t>Historical and current community feedback</w:t>
            </w:r>
            <w:r w:rsidR="00C619D1">
              <w:rPr>
                <w:noProof/>
                <w:webHidden/>
              </w:rPr>
              <w:tab/>
            </w:r>
            <w:r w:rsidR="00C619D1">
              <w:rPr>
                <w:noProof/>
                <w:webHidden/>
              </w:rPr>
              <w:fldChar w:fldCharType="begin"/>
            </w:r>
            <w:r w:rsidR="00C619D1">
              <w:rPr>
                <w:noProof/>
                <w:webHidden/>
              </w:rPr>
              <w:instrText xml:space="preserve"> PAGEREF _Toc161212551 \h </w:instrText>
            </w:r>
            <w:r w:rsidR="00C619D1">
              <w:rPr>
                <w:noProof/>
                <w:webHidden/>
              </w:rPr>
            </w:r>
            <w:r w:rsidR="00C619D1">
              <w:rPr>
                <w:noProof/>
                <w:webHidden/>
              </w:rPr>
              <w:fldChar w:fldCharType="separate"/>
            </w:r>
            <w:r w:rsidR="00BA2E68">
              <w:rPr>
                <w:noProof/>
                <w:webHidden/>
              </w:rPr>
              <w:t>4</w:t>
            </w:r>
            <w:r w:rsidR="00C619D1">
              <w:rPr>
                <w:noProof/>
                <w:webHidden/>
              </w:rPr>
              <w:fldChar w:fldCharType="end"/>
            </w:r>
          </w:hyperlink>
        </w:p>
        <w:p w14:paraId="40BAD7C7" w14:textId="5F008D84" w:rsidR="00C619D1" w:rsidRDefault="005E00A8">
          <w:pPr>
            <w:pStyle w:val="TOC2"/>
            <w:tabs>
              <w:tab w:val="left" w:pos="720"/>
              <w:tab w:val="right" w:leader="dot" w:pos="10194"/>
            </w:tabs>
            <w:rPr>
              <w:rFonts w:asciiTheme="minorHAnsi" w:hAnsiTheme="minorHAnsi"/>
              <w:b w:val="0"/>
              <w:noProof/>
              <w:color w:val="auto"/>
              <w:kern w:val="2"/>
              <w:sz w:val="24"/>
              <w:szCs w:val="24"/>
              <w:lang w:eastAsia="en-AU"/>
              <w14:ligatures w14:val="standardContextual"/>
            </w:rPr>
          </w:pPr>
          <w:hyperlink w:anchor="_Toc161212552" w:history="1">
            <w:r w:rsidR="00C619D1" w:rsidRPr="00C6658B">
              <w:rPr>
                <w:rStyle w:val="Hyperlink"/>
                <w:noProof/>
              </w:rPr>
              <w:t>4.</w:t>
            </w:r>
            <w:r w:rsidR="00C619D1">
              <w:rPr>
                <w:rFonts w:asciiTheme="minorHAnsi" w:hAnsiTheme="minorHAnsi"/>
                <w:b w:val="0"/>
                <w:noProof/>
                <w:color w:val="auto"/>
                <w:kern w:val="2"/>
                <w:sz w:val="24"/>
                <w:szCs w:val="24"/>
                <w:lang w:eastAsia="en-AU"/>
                <w14:ligatures w14:val="standardContextual"/>
              </w:rPr>
              <w:tab/>
            </w:r>
            <w:r w:rsidR="00C619D1" w:rsidRPr="00C6658B">
              <w:rPr>
                <w:rStyle w:val="Hyperlink"/>
                <w:noProof/>
              </w:rPr>
              <w:t>Addresses community mistrust of the VEU Program</w:t>
            </w:r>
            <w:r w:rsidR="00C619D1">
              <w:rPr>
                <w:noProof/>
                <w:webHidden/>
              </w:rPr>
              <w:tab/>
            </w:r>
            <w:r w:rsidR="00C619D1">
              <w:rPr>
                <w:noProof/>
                <w:webHidden/>
              </w:rPr>
              <w:fldChar w:fldCharType="begin"/>
            </w:r>
            <w:r w:rsidR="00C619D1">
              <w:rPr>
                <w:noProof/>
                <w:webHidden/>
              </w:rPr>
              <w:instrText xml:space="preserve"> PAGEREF _Toc161212552 \h </w:instrText>
            </w:r>
            <w:r w:rsidR="00C619D1">
              <w:rPr>
                <w:noProof/>
                <w:webHidden/>
              </w:rPr>
            </w:r>
            <w:r w:rsidR="00C619D1">
              <w:rPr>
                <w:noProof/>
                <w:webHidden/>
              </w:rPr>
              <w:fldChar w:fldCharType="separate"/>
            </w:r>
            <w:r w:rsidR="00BA2E68">
              <w:rPr>
                <w:noProof/>
                <w:webHidden/>
              </w:rPr>
              <w:t>5</w:t>
            </w:r>
            <w:r w:rsidR="00C619D1">
              <w:rPr>
                <w:noProof/>
                <w:webHidden/>
              </w:rPr>
              <w:fldChar w:fldCharType="end"/>
            </w:r>
          </w:hyperlink>
        </w:p>
        <w:p w14:paraId="5AF4C3E9" w14:textId="0597F431" w:rsidR="00C619D1" w:rsidRDefault="005E00A8">
          <w:pPr>
            <w:pStyle w:val="TOC2"/>
            <w:tabs>
              <w:tab w:val="left" w:pos="720"/>
              <w:tab w:val="right" w:leader="dot" w:pos="10194"/>
            </w:tabs>
            <w:rPr>
              <w:rFonts w:asciiTheme="minorHAnsi" w:hAnsiTheme="minorHAnsi"/>
              <w:b w:val="0"/>
              <w:noProof/>
              <w:color w:val="auto"/>
              <w:kern w:val="2"/>
              <w:sz w:val="24"/>
              <w:szCs w:val="24"/>
              <w:lang w:eastAsia="en-AU"/>
              <w14:ligatures w14:val="standardContextual"/>
            </w:rPr>
          </w:pPr>
          <w:hyperlink w:anchor="_Toc161212553" w:history="1">
            <w:r w:rsidR="00C619D1" w:rsidRPr="00C6658B">
              <w:rPr>
                <w:rStyle w:val="Hyperlink"/>
                <w:noProof/>
              </w:rPr>
              <w:t>5.</w:t>
            </w:r>
            <w:r w:rsidR="00C619D1">
              <w:rPr>
                <w:rFonts w:asciiTheme="minorHAnsi" w:hAnsiTheme="minorHAnsi"/>
                <w:b w:val="0"/>
                <w:noProof/>
                <w:color w:val="auto"/>
                <w:kern w:val="2"/>
                <w:sz w:val="24"/>
                <w:szCs w:val="24"/>
                <w:lang w:eastAsia="en-AU"/>
                <w14:ligatures w14:val="standardContextual"/>
              </w:rPr>
              <w:tab/>
            </w:r>
            <w:r w:rsidR="00C619D1" w:rsidRPr="00C6658B">
              <w:rPr>
                <w:rStyle w:val="Hyperlink"/>
                <w:noProof/>
              </w:rPr>
              <w:t>Decisively and immediately addresses misconduct</w:t>
            </w:r>
            <w:r w:rsidR="00C619D1">
              <w:rPr>
                <w:noProof/>
                <w:webHidden/>
              </w:rPr>
              <w:tab/>
            </w:r>
            <w:r w:rsidR="00C619D1">
              <w:rPr>
                <w:noProof/>
                <w:webHidden/>
              </w:rPr>
              <w:fldChar w:fldCharType="begin"/>
            </w:r>
            <w:r w:rsidR="00C619D1">
              <w:rPr>
                <w:noProof/>
                <w:webHidden/>
              </w:rPr>
              <w:instrText xml:space="preserve"> PAGEREF _Toc161212553 \h </w:instrText>
            </w:r>
            <w:r w:rsidR="00C619D1">
              <w:rPr>
                <w:noProof/>
                <w:webHidden/>
              </w:rPr>
            </w:r>
            <w:r w:rsidR="00C619D1">
              <w:rPr>
                <w:noProof/>
                <w:webHidden/>
              </w:rPr>
              <w:fldChar w:fldCharType="separate"/>
            </w:r>
            <w:r w:rsidR="00BA2E68">
              <w:rPr>
                <w:noProof/>
                <w:webHidden/>
              </w:rPr>
              <w:t>5</w:t>
            </w:r>
            <w:r w:rsidR="00C619D1">
              <w:rPr>
                <w:noProof/>
                <w:webHidden/>
              </w:rPr>
              <w:fldChar w:fldCharType="end"/>
            </w:r>
          </w:hyperlink>
        </w:p>
        <w:p w14:paraId="7B0C9A95" w14:textId="093D9670" w:rsidR="00C619D1" w:rsidRDefault="005E00A8">
          <w:pPr>
            <w:pStyle w:val="TOC2"/>
            <w:tabs>
              <w:tab w:val="left" w:pos="720"/>
              <w:tab w:val="right" w:leader="dot" w:pos="10194"/>
            </w:tabs>
            <w:rPr>
              <w:rFonts w:asciiTheme="minorHAnsi" w:hAnsiTheme="minorHAnsi"/>
              <w:b w:val="0"/>
              <w:noProof/>
              <w:color w:val="auto"/>
              <w:kern w:val="2"/>
              <w:sz w:val="24"/>
              <w:szCs w:val="24"/>
              <w:lang w:eastAsia="en-AU"/>
              <w14:ligatures w14:val="standardContextual"/>
            </w:rPr>
          </w:pPr>
          <w:hyperlink w:anchor="_Toc161212554" w:history="1">
            <w:r w:rsidR="00C619D1" w:rsidRPr="00C6658B">
              <w:rPr>
                <w:rStyle w:val="Hyperlink"/>
                <w:noProof/>
              </w:rPr>
              <w:t>6.</w:t>
            </w:r>
            <w:r w:rsidR="00C619D1">
              <w:rPr>
                <w:rFonts w:asciiTheme="minorHAnsi" w:hAnsiTheme="minorHAnsi"/>
                <w:b w:val="0"/>
                <w:noProof/>
                <w:color w:val="auto"/>
                <w:kern w:val="2"/>
                <w:sz w:val="24"/>
                <w:szCs w:val="24"/>
                <w:lang w:eastAsia="en-AU"/>
                <w14:ligatures w14:val="standardContextual"/>
              </w:rPr>
              <w:tab/>
            </w:r>
            <w:r w:rsidR="00C619D1" w:rsidRPr="00C6658B">
              <w:rPr>
                <w:rStyle w:val="Hyperlink"/>
                <w:noProof/>
              </w:rPr>
              <w:t>Prevention of additional high risk sales practices</w:t>
            </w:r>
            <w:r w:rsidR="00C619D1">
              <w:rPr>
                <w:noProof/>
                <w:webHidden/>
              </w:rPr>
              <w:tab/>
            </w:r>
            <w:r w:rsidR="00C619D1">
              <w:rPr>
                <w:noProof/>
                <w:webHidden/>
              </w:rPr>
              <w:fldChar w:fldCharType="begin"/>
            </w:r>
            <w:r w:rsidR="00C619D1">
              <w:rPr>
                <w:noProof/>
                <w:webHidden/>
              </w:rPr>
              <w:instrText xml:space="preserve"> PAGEREF _Toc161212554 \h </w:instrText>
            </w:r>
            <w:r w:rsidR="00C619D1">
              <w:rPr>
                <w:noProof/>
                <w:webHidden/>
              </w:rPr>
            </w:r>
            <w:r w:rsidR="00C619D1">
              <w:rPr>
                <w:noProof/>
                <w:webHidden/>
              </w:rPr>
              <w:fldChar w:fldCharType="separate"/>
            </w:r>
            <w:r w:rsidR="00BA2E68">
              <w:rPr>
                <w:noProof/>
                <w:webHidden/>
              </w:rPr>
              <w:t>5</w:t>
            </w:r>
            <w:r w:rsidR="00C619D1">
              <w:rPr>
                <w:noProof/>
                <w:webHidden/>
              </w:rPr>
              <w:fldChar w:fldCharType="end"/>
            </w:r>
          </w:hyperlink>
        </w:p>
        <w:p w14:paraId="2D933746" w14:textId="75EE4A16" w:rsidR="00C619D1" w:rsidRDefault="005E00A8">
          <w:pPr>
            <w:pStyle w:val="TOC1"/>
            <w:tabs>
              <w:tab w:val="right" w:leader="dot" w:pos="10194"/>
            </w:tabs>
            <w:rPr>
              <w:rFonts w:asciiTheme="minorHAnsi" w:hAnsiTheme="minorHAnsi"/>
              <w:b w:val="0"/>
              <w:noProof/>
              <w:color w:val="auto"/>
              <w:kern w:val="2"/>
              <w:szCs w:val="24"/>
              <w:lang w:eastAsia="en-AU"/>
              <w14:ligatures w14:val="standardContextual"/>
            </w:rPr>
          </w:pPr>
          <w:hyperlink w:anchor="_Toc161212555" w:history="1">
            <w:r w:rsidR="00C619D1" w:rsidRPr="00C6658B">
              <w:rPr>
                <w:rStyle w:val="Hyperlink"/>
                <w:noProof/>
              </w:rPr>
              <w:t>Additional considerations</w:t>
            </w:r>
            <w:r w:rsidR="00C619D1">
              <w:rPr>
                <w:noProof/>
                <w:webHidden/>
              </w:rPr>
              <w:tab/>
            </w:r>
            <w:r w:rsidR="00C619D1">
              <w:rPr>
                <w:noProof/>
                <w:webHidden/>
              </w:rPr>
              <w:fldChar w:fldCharType="begin"/>
            </w:r>
            <w:r w:rsidR="00C619D1">
              <w:rPr>
                <w:noProof/>
                <w:webHidden/>
              </w:rPr>
              <w:instrText xml:space="preserve"> PAGEREF _Toc161212555 \h </w:instrText>
            </w:r>
            <w:r w:rsidR="00C619D1">
              <w:rPr>
                <w:noProof/>
                <w:webHidden/>
              </w:rPr>
            </w:r>
            <w:r w:rsidR="00C619D1">
              <w:rPr>
                <w:noProof/>
                <w:webHidden/>
              </w:rPr>
              <w:fldChar w:fldCharType="separate"/>
            </w:r>
            <w:r w:rsidR="00BA2E68">
              <w:rPr>
                <w:noProof/>
                <w:webHidden/>
              </w:rPr>
              <w:t>6</w:t>
            </w:r>
            <w:r w:rsidR="00C619D1">
              <w:rPr>
                <w:noProof/>
                <w:webHidden/>
              </w:rPr>
              <w:fldChar w:fldCharType="end"/>
            </w:r>
          </w:hyperlink>
        </w:p>
        <w:p w14:paraId="61E28F8C" w14:textId="03BC36B3" w:rsidR="00B056C9" w:rsidRDefault="00B056C9">
          <w:r>
            <w:rPr>
              <w:b/>
              <w:bCs/>
              <w:noProof/>
            </w:rPr>
            <w:fldChar w:fldCharType="end"/>
          </w:r>
        </w:p>
      </w:sdtContent>
    </w:sdt>
    <w:p w14:paraId="4BA9C96C" w14:textId="77777777" w:rsidR="00CC20EA" w:rsidRPr="00CC20EA" w:rsidRDefault="00CC20EA" w:rsidP="00CC20EA">
      <w:pPr>
        <w:sectPr w:rsidR="00CC20EA" w:rsidRPr="00CC20EA" w:rsidSect="00FE2BA0">
          <w:headerReference w:type="default" r:id="rId11"/>
          <w:footerReference w:type="even" r:id="rId12"/>
          <w:footerReference w:type="default" r:id="rId13"/>
          <w:headerReference w:type="first" r:id="rId14"/>
          <w:pgSz w:w="11906" w:h="16838"/>
          <w:pgMar w:top="1134" w:right="851" w:bottom="1134" w:left="851" w:header="709" w:footer="397" w:gutter="0"/>
          <w:cols w:space="708"/>
          <w:titlePg/>
          <w:docGrid w:linePitch="360"/>
        </w:sectPr>
      </w:pPr>
    </w:p>
    <w:p w14:paraId="4BA10CB9" w14:textId="19FCD3D3" w:rsidR="00A2313C" w:rsidRDefault="00242EFD" w:rsidP="00A2313C">
      <w:pPr>
        <w:pStyle w:val="Heading1"/>
      </w:pPr>
      <w:bookmarkStart w:id="3" w:name="_Toc161212547"/>
      <w:r>
        <w:t>Response to feedback survey on preferred ban options</w:t>
      </w:r>
      <w:bookmarkEnd w:id="3"/>
    </w:p>
    <w:p w14:paraId="0EDBE2AD" w14:textId="77777777" w:rsidR="005C6454" w:rsidRDefault="005C6454" w:rsidP="005C6454">
      <w:pPr>
        <w:pStyle w:val="Heading2"/>
      </w:pPr>
    </w:p>
    <w:p w14:paraId="7C7202E6" w14:textId="44691874" w:rsidR="00A2313C" w:rsidRDefault="007C3C7D" w:rsidP="005C6454">
      <w:pPr>
        <w:pStyle w:val="Heading2"/>
      </w:pPr>
      <w:bookmarkStart w:id="4" w:name="_Toc161212548"/>
      <w:r>
        <w:t>Option B</w:t>
      </w:r>
      <w:r w:rsidR="000A197F">
        <w:t>: Combined ban on telemarketing and doorknocking</w:t>
      </w:r>
      <w:r>
        <w:t xml:space="preserve"> as the p</w:t>
      </w:r>
      <w:r w:rsidR="00242EFD">
        <w:t>referred ban option</w:t>
      </w:r>
      <w:bookmarkEnd w:id="4"/>
    </w:p>
    <w:p w14:paraId="5346EFC4" w14:textId="2DE13DB9" w:rsidR="006C45CD" w:rsidRDefault="007C3C7D" w:rsidP="007C3C7D">
      <w:r>
        <w:t>Consumer Act</w:t>
      </w:r>
      <w:r w:rsidR="000A197F">
        <w:t xml:space="preserve">ion </w:t>
      </w:r>
      <w:r w:rsidR="00B95063">
        <w:t>has consistently held the position</w:t>
      </w:r>
      <w:r w:rsidR="006C45CD">
        <w:t xml:space="preserve"> that</w:t>
      </w:r>
      <w:r w:rsidR="000B0EC0">
        <w:t xml:space="preserve"> unsolicited sales practices have no place in a well-functioning market. A</w:t>
      </w:r>
      <w:r w:rsidR="006C45CD">
        <w:t xml:space="preserve"> ban on</w:t>
      </w:r>
      <w:r w:rsidR="005E3830">
        <w:t xml:space="preserve"> all forms of unsolicited sales </w:t>
      </w:r>
      <w:r w:rsidR="00B95063">
        <w:t xml:space="preserve">should be implemented as soon as possible, as an integral part of ensuring a fair and just market for consumers. </w:t>
      </w:r>
      <w:r w:rsidR="005572D0">
        <w:t xml:space="preserve"> </w:t>
      </w:r>
    </w:p>
    <w:p w14:paraId="39EFF520" w14:textId="1B9F7DAC" w:rsidR="007C3C7D" w:rsidRDefault="000B0EC0" w:rsidP="007C3C7D">
      <w:r>
        <w:t xml:space="preserve">We submit </w:t>
      </w:r>
      <w:r w:rsidR="00433DFA">
        <w:t>that</w:t>
      </w:r>
      <w:r>
        <w:t xml:space="preserve"> </w:t>
      </w:r>
      <w:r w:rsidR="007C3C7D">
        <w:t>Option B</w:t>
      </w:r>
      <w:r w:rsidR="00433DFA">
        <w:t xml:space="preserve"> from the Regulatory Impact Statement should be </w:t>
      </w:r>
      <w:r w:rsidR="00BC30A7">
        <w:t>implemented</w:t>
      </w:r>
      <w:r w:rsidR="007C3C7D">
        <w:t xml:space="preserve"> for the reasons outlined below. </w:t>
      </w:r>
    </w:p>
    <w:p w14:paraId="3456C0E9" w14:textId="7834DB8E" w:rsidR="006D5720" w:rsidRPr="006D5720" w:rsidRDefault="006D5720" w:rsidP="005C6454">
      <w:pPr>
        <w:pStyle w:val="Heading2"/>
        <w:numPr>
          <w:ilvl w:val="0"/>
          <w:numId w:val="30"/>
        </w:numPr>
      </w:pPr>
      <w:bookmarkStart w:id="5" w:name="_Toc161212549"/>
      <w:r>
        <w:t xml:space="preserve">Simple and easily </w:t>
      </w:r>
      <w:proofErr w:type="gramStart"/>
      <w:r>
        <w:t>understood</w:t>
      </w:r>
      <w:bookmarkEnd w:id="5"/>
      <w:proofErr w:type="gramEnd"/>
      <w:r>
        <w:t xml:space="preserve"> </w:t>
      </w:r>
    </w:p>
    <w:p w14:paraId="28564740" w14:textId="6AB897DF" w:rsidR="00D44DFA" w:rsidRDefault="006D5720" w:rsidP="008F6874">
      <w:pPr>
        <w:pStyle w:val="ListParagraph"/>
        <w:numPr>
          <w:ilvl w:val="2"/>
          <w:numId w:val="30"/>
        </w:numPr>
        <w:ind w:left="1560"/>
      </w:pPr>
      <w:r>
        <w:t>It is our view that a</w:t>
      </w:r>
      <w:r w:rsidRPr="00B91808">
        <w:t xml:space="preserve">ny ban needs to be simple and easily understood. </w:t>
      </w:r>
      <w:r>
        <w:t xml:space="preserve">This position is echoed in the </w:t>
      </w:r>
      <w:r w:rsidR="00562CC3">
        <w:t>Regulatory Impact Statement</w:t>
      </w:r>
      <w:r>
        <w:t>, which notes that</w:t>
      </w:r>
      <w:r w:rsidR="00DE6BF7">
        <w:t xml:space="preserve"> members of the public and community groups preferred and agreed that</w:t>
      </w:r>
      <w:r>
        <w:t xml:space="preserve"> ‘A blanket ban would be the simplest to communicate to consumers and establish a clear expectation among the public on what is permitted.’</w:t>
      </w:r>
      <w:r w:rsidR="008F6874">
        <w:t xml:space="preserve"> </w:t>
      </w:r>
    </w:p>
    <w:p w14:paraId="4697B89F" w14:textId="416A3C41" w:rsidR="00125D4A" w:rsidRDefault="00135ADC" w:rsidP="008F6874">
      <w:pPr>
        <w:pStyle w:val="ListParagraph"/>
        <w:numPr>
          <w:ilvl w:val="2"/>
          <w:numId w:val="30"/>
        </w:numPr>
        <w:ind w:left="1560"/>
      </w:pPr>
      <w:r>
        <w:t xml:space="preserve">In comparison to Option A which only bans telemarketing, Option B addresses both forms of </w:t>
      </w:r>
      <w:r w:rsidR="7A450ADD">
        <w:t>high-risk</w:t>
      </w:r>
      <w:r>
        <w:t xml:space="preserve"> sales practices in one comprehensive </w:t>
      </w:r>
      <w:r w:rsidR="00125D4A">
        <w:t xml:space="preserve">strategy. Additionally, Option C outlines a phased ban, which will both be more complicated in </w:t>
      </w:r>
      <w:r w:rsidR="005D7F5A">
        <w:t xml:space="preserve">its implementation, and cause unnecessary </w:t>
      </w:r>
      <w:r w:rsidR="00816C19">
        <w:t xml:space="preserve">confusion for consumers in understanding what </w:t>
      </w:r>
      <w:r w:rsidR="0007701A">
        <w:t xml:space="preserve">has been permitted and when. </w:t>
      </w:r>
    </w:p>
    <w:p w14:paraId="20A1A691" w14:textId="139A93E5" w:rsidR="006D5720" w:rsidRDefault="008F6874" w:rsidP="008F6874">
      <w:pPr>
        <w:pStyle w:val="ListParagraph"/>
        <w:numPr>
          <w:ilvl w:val="2"/>
          <w:numId w:val="30"/>
        </w:numPr>
        <w:ind w:left="1560"/>
      </w:pPr>
      <w:r>
        <w:t xml:space="preserve">Out of the three proposed options, Option </w:t>
      </w:r>
      <w:r w:rsidR="00D44DFA">
        <w:t xml:space="preserve">B outlines a blanket ban on both methods of unsolicited sales, and a </w:t>
      </w:r>
      <w:r w:rsidR="00862787">
        <w:t>single</w:t>
      </w:r>
      <w:r w:rsidR="00D44DFA">
        <w:t xml:space="preserve"> date </w:t>
      </w:r>
      <w:r w:rsidR="00862787">
        <w:t>on</w:t>
      </w:r>
      <w:r w:rsidR="00D44DFA">
        <w:t xml:space="preserve"> which it is implemented.</w:t>
      </w:r>
      <w:r w:rsidR="0007701A">
        <w:t xml:space="preserve"> This option meets community expectations and </w:t>
      </w:r>
      <w:r w:rsidR="000E7A9C">
        <w:t xml:space="preserve">preferences, in providing a clear and </w:t>
      </w:r>
      <w:r w:rsidR="00DF6945">
        <w:t xml:space="preserve">easily understandable information on their rights </w:t>
      </w:r>
      <w:r w:rsidR="006B2350">
        <w:t xml:space="preserve">and protections against </w:t>
      </w:r>
      <w:r w:rsidR="2B2E8930">
        <w:t>high-risk</w:t>
      </w:r>
      <w:r w:rsidR="006B2350">
        <w:t xml:space="preserve"> sales practices. </w:t>
      </w:r>
    </w:p>
    <w:p w14:paraId="05FEE22C" w14:textId="4453668A" w:rsidR="00B05A1B" w:rsidRPr="00B05A1B" w:rsidRDefault="00B05A1B" w:rsidP="005C6454">
      <w:pPr>
        <w:pStyle w:val="Heading2"/>
        <w:numPr>
          <w:ilvl w:val="0"/>
          <w:numId w:val="30"/>
        </w:numPr>
      </w:pPr>
      <w:bookmarkStart w:id="6" w:name="_Toc161212550"/>
      <w:r>
        <w:t>Effective and consistent implementation</w:t>
      </w:r>
      <w:bookmarkEnd w:id="6"/>
    </w:p>
    <w:p w14:paraId="0336C55F" w14:textId="07626DC9" w:rsidR="00BD0066" w:rsidRDefault="00A91D27" w:rsidP="00FE663D">
      <w:pPr>
        <w:pStyle w:val="ListParagraph"/>
        <w:numPr>
          <w:ilvl w:val="2"/>
          <w:numId w:val="30"/>
        </w:numPr>
        <w:ind w:left="1560"/>
      </w:pPr>
      <w:r>
        <w:t xml:space="preserve">Of the three identified options outlined in the RIS, </w:t>
      </w:r>
      <w:r w:rsidR="00BD6F07">
        <w:t>Option B</w:t>
      </w:r>
      <w:r w:rsidR="000D4501">
        <w:t xml:space="preserve"> outlines that both doorknocking and telemarketing will be prohibited on the same date</w:t>
      </w:r>
      <w:r w:rsidR="00BD0066">
        <w:t xml:space="preserve">. </w:t>
      </w:r>
      <w:r w:rsidR="00FE663D">
        <w:t>If an alternative approach is implemented (either in Option A or C), the staggered approach</w:t>
      </w:r>
      <w:r w:rsidR="00B74AFB">
        <w:t xml:space="preserve"> would allow for continued doorknocking practices,</w:t>
      </w:r>
      <w:r w:rsidR="00FE663D">
        <w:t xml:space="preserve"> leav</w:t>
      </w:r>
      <w:r w:rsidR="0085662A">
        <w:t>ing</w:t>
      </w:r>
      <w:r w:rsidR="00FE663D">
        <w:t xml:space="preserve"> consumers exposed </w:t>
      </w:r>
      <w:r w:rsidR="0085662A">
        <w:t>to continued high</w:t>
      </w:r>
      <w:r w:rsidR="3CAD5D39">
        <w:t>-</w:t>
      </w:r>
      <w:r w:rsidR="0085662A">
        <w:t>risk sales</w:t>
      </w:r>
      <w:r w:rsidR="00325196">
        <w:t>;</w:t>
      </w:r>
      <w:r w:rsidR="00FE663D">
        <w:t xml:space="preserve"> unnecessary issues with communicating the roll out of the ban</w:t>
      </w:r>
      <w:r w:rsidR="00325196">
        <w:t xml:space="preserve">; </w:t>
      </w:r>
      <w:r w:rsidR="00FE663D">
        <w:t>and challenges to efficient monitoring and compliance</w:t>
      </w:r>
      <w:r w:rsidR="4D3F0D0E">
        <w:t xml:space="preserve">. </w:t>
      </w:r>
      <w:r w:rsidR="00FE663D">
        <w:t xml:space="preserve"> </w:t>
      </w:r>
    </w:p>
    <w:p w14:paraId="19E4E8C7" w14:textId="1A4F9D22" w:rsidR="00CA2E97" w:rsidRDefault="00325196" w:rsidP="00B05A1B">
      <w:pPr>
        <w:pStyle w:val="ListParagraph"/>
        <w:numPr>
          <w:ilvl w:val="2"/>
          <w:numId w:val="30"/>
        </w:numPr>
        <w:ind w:left="1560"/>
      </w:pPr>
      <w:r>
        <w:t xml:space="preserve">By proposing a single date for the implementation of both doorknocking and telemarketing sales, </w:t>
      </w:r>
      <w:r w:rsidR="00FE663D">
        <w:t>Option B</w:t>
      </w:r>
      <w:r w:rsidR="00BD6F07">
        <w:t xml:space="preserve"> provides a</w:t>
      </w:r>
      <w:r w:rsidR="006D26E8">
        <w:t xml:space="preserve"> </w:t>
      </w:r>
      <w:r w:rsidR="0082076B">
        <w:t xml:space="preserve">broad-based </w:t>
      </w:r>
      <w:r w:rsidR="00D23B5E">
        <w:t xml:space="preserve">and clear </w:t>
      </w:r>
      <w:r w:rsidR="0082076B">
        <w:t>approach to the implementation of the ban</w:t>
      </w:r>
      <w:r>
        <w:t>. This option</w:t>
      </w:r>
      <w:r w:rsidR="0082076B">
        <w:t xml:space="preserve"> will benefit consumers, t</w:t>
      </w:r>
      <w:r w:rsidR="00D41442">
        <w:t>he retail market, and the regulatory and governmental sector</w:t>
      </w:r>
      <w:r w:rsidR="00A34870">
        <w:t xml:space="preserve"> in </w:t>
      </w:r>
      <w:r w:rsidR="00CA2E97">
        <w:t xml:space="preserve">best facilitating an effective and consistent approach to the new changes. </w:t>
      </w:r>
    </w:p>
    <w:p w14:paraId="7C4E4DBF" w14:textId="4C09D940" w:rsidR="000F7F9A" w:rsidRDefault="00325196" w:rsidP="000F7F9A">
      <w:pPr>
        <w:pStyle w:val="ListParagraph"/>
        <w:numPr>
          <w:ilvl w:val="2"/>
          <w:numId w:val="30"/>
        </w:numPr>
        <w:ind w:left="1560"/>
      </w:pPr>
      <w:r>
        <w:t>Additionally, Option B</w:t>
      </w:r>
      <w:r w:rsidR="007D3183">
        <w:t xml:space="preserve"> facilitates</w:t>
      </w:r>
      <w:r w:rsidR="00370709">
        <w:t xml:space="preserve"> </w:t>
      </w:r>
      <w:r w:rsidR="00363B3B">
        <w:t>coordinated and clear information on the ban</w:t>
      </w:r>
      <w:r w:rsidR="007D3183">
        <w:t xml:space="preserve"> to consumers</w:t>
      </w:r>
      <w:r w:rsidR="005B7230">
        <w:t xml:space="preserve"> that will allow the ban to be simple and easily </w:t>
      </w:r>
      <w:proofErr w:type="gramStart"/>
      <w:r w:rsidR="005B7230">
        <w:t>understood</w:t>
      </w:r>
      <w:r w:rsidR="007D3183">
        <w:t>, and</w:t>
      </w:r>
      <w:proofErr w:type="gramEnd"/>
      <w:r w:rsidR="007D3183">
        <w:t xml:space="preserve"> provides a</w:t>
      </w:r>
      <w:r w:rsidR="00E0760E">
        <w:t xml:space="preserve"> clear deadline </w:t>
      </w:r>
      <w:r w:rsidR="00491D3E">
        <w:t xml:space="preserve">for retailers to phase out unsolicited marketing practices efficiently. </w:t>
      </w:r>
    </w:p>
    <w:p w14:paraId="2FCCA9BD" w14:textId="50AB5A4A" w:rsidR="000A197F" w:rsidRPr="00597895" w:rsidRDefault="009833FC" w:rsidP="005C6454">
      <w:pPr>
        <w:pStyle w:val="Heading2"/>
        <w:numPr>
          <w:ilvl w:val="0"/>
          <w:numId w:val="30"/>
        </w:numPr>
      </w:pPr>
      <w:bookmarkStart w:id="7" w:name="_Toc161212551"/>
      <w:r>
        <w:t xml:space="preserve">Historical and current </w:t>
      </w:r>
      <w:r w:rsidR="00BC30A7">
        <w:t>community feedback</w:t>
      </w:r>
      <w:bookmarkEnd w:id="7"/>
      <w:r w:rsidR="00BC30A7">
        <w:t xml:space="preserve"> </w:t>
      </w:r>
    </w:p>
    <w:p w14:paraId="0CD08093" w14:textId="1B7E5C30" w:rsidR="00F5300F" w:rsidRDefault="00340329" w:rsidP="00597895">
      <w:pPr>
        <w:pStyle w:val="ListParagraph"/>
        <w:numPr>
          <w:ilvl w:val="2"/>
          <w:numId w:val="30"/>
        </w:numPr>
        <w:ind w:left="1560"/>
      </w:pPr>
      <w:r>
        <w:t xml:space="preserve">Out of the three options identified, Option B outlines a ban on both doorknocking and telemarketing </w:t>
      </w:r>
      <w:r w:rsidR="00F5300F">
        <w:t>to be prohibited</w:t>
      </w:r>
      <w:r w:rsidR="00F76A67">
        <w:t xml:space="preserve"> most immediately.</w:t>
      </w:r>
    </w:p>
    <w:p w14:paraId="72243D0F" w14:textId="77777777" w:rsidR="007F5546" w:rsidRDefault="00EF7901" w:rsidP="00597895">
      <w:pPr>
        <w:pStyle w:val="ListParagraph"/>
        <w:numPr>
          <w:ilvl w:val="2"/>
          <w:numId w:val="30"/>
        </w:numPr>
        <w:ind w:left="1560"/>
      </w:pPr>
      <w:r>
        <w:t>Since 2008</w:t>
      </w:r>
      <w:r w:rsidR="00DE20CA">
        <w:t xml:space="preserve">, </w:t>
      </w:r>
      <w:r w:rsidR="007D3DEB">
        <w:t xml:space="preserve">quantitative research has shown </w:t>
      </w:r>
      <w:r w:rsidR="000F443E">
        <w:t xml:space="preserve">that </w:t>
      </w:r>
      <w:r>
        <w:t>Victorian c</w:t>
      </w:r>
      <w:r w:rsidR="000F443E">
        <w:t>onsumers are overwhelmingly supportive of a ban on unsolicited sales practices</w:t>
      </w:r>
      <w:r w:rsidR="004F6775">
        <w:t xml:space="preserve"> including both doorknocking and telemarketing</w:t>
      </w:r>
      <w:r w:rsidR="00A91382">
        <w:t>.</w:t>
      </w:r>
    </w:p>
    <w:p w14:paraId="4539A1C6" w14:textId="357D94C0" w:rsidR="00597895" w:rsidRDefault="007F5546" w:rsidP="00597895">
      <w:pPr>
        <w:pStyle w:val="ListParagraph"/>
        <w:numPr>
          <w:ilvl w:val="2"/>
          <w:numId w:val="30"/>
        </w:numPr>
        <w:ind w:left="1560"/>
      </w:pPr>
      <w:r>
        <w:t xml:space="preserve">Consumer Action has </w:t>
      </w:r>
      <w:r w:rsidR="00CF0A58">
        <w:t xml:space="preserve">long advocated for a ban on all forms of unsolicited sales. </w:t>
      </w:r>
      <w:r w:rsidR="00A91382">
        <w:t xml:space="preserve">In our </w:t>
      </w:r>
      <w:r w:rsidR="00834955">
        <w:t xml:space="preserve">2016 </w:t>
      </w:r>
      <w:r w:rsidR="00B7014E">
        <w:t>survey, Consumer Action found that</w:t>
      </w:r>
      <w:r w:rsidR="0062025C">
        <w:t xml:space="preserve"> 3 in 4</w:t>
      </w:r>
      <w:r w:rsidR="00B7014E">
        <w:t xml:space="preserve"> Australians </w:t>
      </w:r>
      <w:r w:rsidR="00A44D38">
        <w:t xml:space="preserve">(76.9%) </w:t>
      </w:r>
      <w:r w:rsidR="00B7014E">
        <w:t xml:space="preserve">agreed that unsolicited sales including </w:t>
      </w:r>
      <w:r w:rsidR="00A44D38">
        <w:t xml:space="preserve">both </w:t>
      </w:r>
      <w:r w:rsidR="00B7014E">
        <w:t xml:space="preserve">telemarketing and doorknocking </w:t>
      </w:r>
      <w:r>
        <w:t>should be made unlawful</w:t>
      </w:r>
      <w:r w:rsidR="0062025C">
        <w:rPr>
          <w:rStyle w:val="FootnoteReference"/>
        </w:rPr>
        <w:footnoteReference w:id="5"/>
      </w:r>
      <w:r>
        <w:t>.</w:t>
      </w:r>
    </w:p>
    <w:p w14:paraId="167C7A57" w14:textId="06ADDED2" w:rsidR="004F6775" w:rsidRPr="00616D63" w:rsidRDefault="00F76A67" w:rsidP="00597895">
      <w:pPr>
        <w:pStyle w:val="ListParagraph"/>
        <w:numPr>
          <w:ilvl w:val="2"/>
          <w:numId w:val="30"/>
        </w:numPr>
        <w:ind w:left="1560"/>
      </w:pPr>
      <w:r>
        <w:t>Alongside independent research,</w:t>
      </w:r>
      <w:r w:rsidR="00D52B7D">
        <w:t xml:space="preserve"> </w:t>
      </w:r>
      <w:r>
        <w:t>the Regulatory Impact Statement</w:t>
      </w:r>
      <w:r w:rsidR="00D52B7D">
        <w:t xml:space="preserve"> outlines </w:t>
      </w:r>
      <w:proofErr w:type="gramStart"/>
      <w:r w:rsidR="00D52B7D">
        <w:t>that</w:t>
      </w:r>
      <w:r>
        <w:t xml:space="preserve"> Victorian consumers</w:t>
      </w:r>
      <w:proofErr w:type="gramEnd"/>
      <w:r>
        <w:t xml:space="preserve"> stated that doorknocking was their least preferred method of staying informed</w:t>
      </w:r>
      <w:r>
        <w:rPr>
          <w:rStyle w:val="FootnoteReference"/>
        </w:rPr>
        <w:footnoteReference w:id="6"/>
      </w:r>
      <w:r w:rsidR="00D52B7D">
        <w:t xml:space="preserve">. </w:t>
      </w:r>
    </w:p>
    <w:p w14:paraId="02206BC8" w14:textId="77777777" w:rsidR="00043563" w:rsidRPr="00B54D1E" w:rsidRDefault="00043563" w:rsidP="00043563">
      <w:pPr>
        <w:pStyle w:val="Heading2"/>
        <w:numPr>
          <w:ilvl w:val="0"/>
          <w:numId w:val="30"/>
        </w:numPr>
      </w:pPr>
      <w:bookmarkStart w:id="8" w:name="_Toc161212552"/>
      <w:r>
        <w:t>Addresses community mistrust of the VEU Program</w:t>
      </w:r>
      <w:bookmarkEnd w:id="8"/>
    </w:p>
    <w:p w14:paraId="30D38B6F" w14:textId="77777777" w:rsidR="00043563" w:rsidRDefault="00043563" w:rsidP="00043563">
      <w:pPr>
        <w:pStyle w:val="ListParagraph"/>
        <w:numPr>
          <w:ilvl w:val="2"/>
          <w:numId w:val="30"/>
        </w:numPr>
        <w:ind w:left="1560"/>
      </w:pPr>
      <w:r>
        <w:t xml:space="preserve">The Victorian Energy Upgrades program is a foundational aspect of the renewable energy transition for Victorian consumers. As part of ensuring an equitable transition, Victorians need to retain access to energy upgrades without feeling at risk of ‘being scammed’ or harassed. </w:t>
      </w:r>
    </w:p>
    <w:p w14:paraId="56215482" w14:textId="4B1E633B" w:rsidR="00CC3876" w:rsidRDefault="00043563" w:rsidP="00043563">
      <w:pPr>
        <w:pStyle w:val="ListParagraph"/>
        <w:numPr>
          <w:ilvl w:val="2"/>
          <w:numId w:val="30"/>
        </w:numPr>
        <w:ind w:left="1560"/>
      </w:pPr>
      <w:r>
        <w:t xml:space="preserve">Unsolicited sales practices across new energy technology </w:t>
      </w:r>
      <w:r w:rsidR="02944B6B">
        <w:t xml:space="preserve">are </w:t>
      </w:r>
      <w:r>
        <w:t xml:space="preserve">having significant impact on vulnerable and low income </w:t>
      </w:r>
      <w:proofErr w:type="gramStart"/>
      <w:r>
        <w:t>consumers, and</w:t>
      </w:r>
      <w:proofErr w:type="gramEnd"/>
      <w:r>
        <w:t xml:space="preserve"> </w:t>
      </w:r>
      <w:r w:rsidR="5A750ABF">
        <w:t xml:space="preserve">have </w:t>
      </w:r>
      <w:r>
        <w:t>caused disreputation and distrust for Victorian government renewable energy programs</w:t>
      </w:r>
      <w:r w:rsidR="13A61503">
        <w:t>, as evidenced in</w:t>
      </w:r>
      <w:r w:rsidR="008A3553">
        <w:t xml:space="preserve"> </w:t>
      </w:r>
      <w:r w:rsidR="00724011">
        <w:t>the RIS</w:t>
      </w:r>
      <w:r w:rsidR="13A61503">
        <w:t>, that states</w:t>
      </w:r>
      <w:r w:rsidR="00EE647D">
        <w:t xml:space="preserve"> </w:t>
      </w:r>
      <w:r w:rsidR="00F77E73">
        <w:t>inappropriate marketing is damaging the reputation of the VEU program</w:t>
      </w:r>
      <w:r w:rsidR="00D57446">
        <w:rPr>
          <w:rStyle w:val="FootnoteReference"/>
        </w:rPr>
        <w:footnoteReference w:id="7"/>
      </w:r>
      <w:r w:rsidR="00F77E73">
        <w:t>.</w:t>
      </w:r>
    </w:p>
    <w:p w14:paraId="242A342D" w14:textId="465FD07C" w:rsidR="00043563" w:rsidRDefault="00043563" w:rsidP="00043563">
      <w:pPr>
        <w:pStyle w:val="ListParagraph"/>
        <w:numPr>
          <w:ilvl w:val="2"/>
          <w:numId w:val="30"/>
        </w:numPr>
        <w:ind w:left="1560"/>
      </w:pPr>
      <w:r>
        <w:t xml:space="preserve">The implementation of an immediate and consistent ban as outlined in Option B would provide an effective method of preventing further mistrust for the </w:t>
      </w:r>
      <w:proofErr w:type="gramStart"/>
      <w:r>
        <w:t>program, and</w:t>
      </w:r>
      <w:proofErr w:type="gramEnd"/>
      <w:r>
        <w:t xml:space="preserve"> sets a standard for renewable energy marketing practices. </w:t>
      </w:r>
    </w:p>
    <w:p w14:paraId="1A5E34C7" w14:textId="02D2801B" w:rsidR="00F0107B" w:rsidRDefault="00F0107B" w:rsidP="005C6454">
      <w:pPr>
        <w:pStyle w:val="Heading2"/>
        <w:numPr>
          <w:ilvl w:val="0"/>
          <w:numId w:val="30"/>
        </w:numPr>
      </w:pPr>
      <w:bookmarkStart w:id="9" w:name="_Toc161212553"/>
      <w:r w:rsidRPr="00AB6B4E">
        <w:t xml:space="preserve">Decisively and immediately addresses </w:t>
      </w:r>
      <w:proofErr w:type="gramStart"/>
      <w:r w:rsidRPr="00AB6B4E">
        <w:t>misconduct</w:t>
      </w:r>
      <w:bookmarkEnd w:id="9"/>
      <w:proofErr w:type="gramEnd"/>
      <w:r w:rsidRPr="00AB6B4E">
        <w:t xml:space="preserve"> </w:t>
      </w:r>
    </w:p>
    <w:p w14:paraId="13CF6477" w14:textId="4BDDC40A" w:rsidR="00F0107B" w:rsidRPr="00895BC5" w:rsidRDefault="00946173" w:rsidP="00F0107B">
      <w:pPr>
        <w:pStyle w:val="ListParagraph"/>
        <w:numPr>
          <w:ilvl w:val="2"/>
          <w:numId w:val="30"/>
        </w:numPr>
        <w:ind w:left="1560"/>
        <w:rPr>
          <w:b/>
          <w:bCs/>
        </w:rPr>
      </w:pPr>
      <w:r>
        <w:t xml:space="preserve">As outlined in the RIS, the proposed Option B provides </w:t>
      </w:r>
      <w:r w:rsidR="00A06549">
        <w:t xml:space="preserve">the most immediate and clear position on unsolicited sales practices. </w:t>
      </w:r>
      <w:r w:rsidR="00027C62">
        <w:t xml:space="preserve">As in line with current consumer protections framework, consumers have a right to </w:t>
      </w:r>
      <w:r w:rsidR="00AD061D">
        <w:t>feel safe and protected against harassment,</w:t>
      </w:r>
      <w:r w:rsidR="00895BC5">
        <w:t xml:space="preserve"> breaches to their privacy, and coercive sales, leading to financial hardship. </w:t>
      </w:r>
    </w:p>
    <w:p w14:paraId="1A1E6CF2" w14:textId="6A254678" w:rsidR="00895BC5" w:rsidRPr="00B34D67" w:rsidRDefault="00B26A47" w:rsidP="00F0107B">
      <w:pPr>
        <w:pStyle w:val="ListParagraph"/>
        <w:numPr>
          <w:ilvl w:val="2"/>
          <w:numId w:val="30"/>
        </w:numPr>
        <w:ind w:left="1560"/>
        <w:rPr>
          <w:b/>
          <w:bCs/>
        </w:rPr>
      </w:pPr>
      <w:r>
        <w:t xml:space="preserve">The VEU program must ensure that a ban </w:t>
      </w:r>
      <w:r w:rsidR="00B11F1A">
        <w:t>is in line with current consumer protections, in preventing these harms, and providing</w:t>
      </w:r>
      <w:r w:rsidR="004E3410">
        <w:t xml:space="preserve"> the clearest avenue </w:t>
      </w:r>
      <w:r w:rsidR="00412BC5">
        <w:t>of redress to consumers who continue to be targeted</w:t>
      </w:r>
      <w:r w:rsidR="00C3352C">
        <w:t xml:space="preserve"> after the ban is implemented. </w:t>
      </w:r>
    </w:p>
    <w:p w14:paraId="48336494" w14:textId="361CEA6F" w:rsidR="00B34D67" w:rsidRPr="00C3352C" w:rsidRDefault="009B0A68" w:rsidP="00F0107B">
      <w:pPr>
        <w:pStyle w:val="ListParagraph"/>
        <w:numPr>
          <w:ilvl w:val="2"/>
          <w:numId w:val="30"/>
        </w:numPr>
        <w:ind w:left="1560"/>
        <w:rPr>
          <w:b/>
          <w:bCs/>
        </w:rPr>
      </w:pPr>
      <w:r>
        <w:t xml:space="preserve">As noted in the RIS, complaints of unsolicited sales </w:t>
      </w:r>
      <w:proofErr w:type="gramStart"/>
      <w:r>
        <w:t>has</w:t>
      </w:r>
      <w:proofErr w:type="gramEnd"/>
      <w:r>
        <w:t xml:space="preserve"> increased significantly since 2021</w:t>
      </w:r>
      <w:r w:rsidR="006B6FC7">
        <w:t xml:space="preserve">, causing strain on regulatory bodies in enforcing safe sales practices. </w:t>
      </w:r>
      <w:r w:rsidR="00A25347">
        <w:t>The holistic approach to unsolicited sales and decisive implementation date</w:t>
      </w:r>
      <w:r w:rsidR="007E5B66">
        <w:t xml:space="preserve"> of Option B provides an efficient mechanism for the Essential Services Commission (ESC) to best administrate, </w:t>
      </w:r>
      <w:proofErr w:type="gramStart"/>
      <w:r w:rsidR="007E5B66">
        <w:t>monitor</w:t>
      </w:r>
      <w:proofErr w:type="gramEnd"/>
      <w:r w:rsidR="007E5B66">
        <w:t xml:space="preserve"> and enforce compliance </w:t>
      </w:r>
      <w:r w:rsidR="008F19F4">
        <w:t xml:space="preserve">of the ban. </w:t>
      </w:r>
    </w:p>
    <w:p w14:paraId="36D5A2BC" w14:textId="239D660D" w:rsidR="00A1100F" w:rsidRPr="005B7230" w:rsidRDefault="00A1100F" w:rsidP="005C6454">
      <w:pPr>
        <w:pStyle w:val="Heading2"/>
        <w:numPr>
          <w:ilvl w:val="0"/>
          <w:numId w:val="30"/>
        </w:numPr>
      </w:pPr>
      <w:bookmarkStart w:id="10" w:name="_Toc161212554"/>
      <w:r>
        <w:t xml:space="preserve">Prevention of additional </w:t>
      </w:r>
      <w:proofErr w:type="gramStart"/>
      <w:r>
        <w:t>high risk</w:t>
      </w:r>
      <w:proofErr w:type="gramEnd"/>
      <w:r>
        <w:t xml:space="preserve"> sales </w:t>
      </w:r>
      <w:r w:rsidR="00597895">
        <w:t>practices</w:t>
      </w:r>
      <w:bookmarkEnd w:id="10"/>
      <w:r w:rsidR="00597895">
        <w:t xml:space="preserve"> </w:t>
      </w:r>
    </w:p>
    <w:p w14:paraId="0EB6722F" w14:textId="27204809" w:rsidR="003252AE" w:rsidRDefault="00AF7BDC" w:rsidP="005B7230">
      <w:pPr>
        <w:pStyle w:val="ListParagraph"/>
        <w:numPr>
          <w:ilvl w:val="2"/>
          <w:numId w:val="30"/>
        </w:numPr>
        <w:ind w:left="1560"/>
      </w:pPr>
      <w:r>
        <w:t xml:space="preserve">Both Option A and </w:t>
      </w:r>
      <w:r w:rsidR="002B2957">
        <w:t>C propose additional time for retailers to continue doorknocking sales practices</w:t>
      </w:r>
      <w:r w:rsidR="003252AE">
        <w:t xml:space="preserve">, creating potential for </w:t>
      </w:r>
      <w:r w:rsidR="00EC6FDB">
        <w:t xml:space="preserve">retailers to divert their marketing </w:t>
      </w:r>
      <w:r w:rsidR="00626B51">
        <w:t xml:space="preserve">towards doorknocking, causing </w:t>
      </w:r>
      <w:r w:rsidR="003252AE">
        <w:t xml:space="preserve">further unsolicited sales and consumer </w:t>
      </w:r>
      <w:proofErr w:type="gramStart"/>
      <w:r w:rsidR="003252AE">
        <w:t>harm</w:t>
      </w:r>
      <w:proofErr w:type="gramEnd"/>
    </w:p>
    <w:p w14:paraId="4B980DB7" w14:textId="29FC4206" w:rsidR="00AC0237" w:rsidRDefault="003252AE" w:rsidP="00AC0237">
      <w:pPr>
        <w:pStyle w:val="ListParagraph"/>
        <w:numPr>
          <w:ilvl w:val="2"/>
          <w:numId w:val="30"/>
        </w:numPr>
        <w:ind w:left="1560"/>
      </w:pPr>
      <w:proofErr w:type="gramStart"/>
      <w:r>
        <w:t>Comparatively,</w:t>
      </w:r>
      <w:r w:rsidR="00D93FED">
        <w:t xml:space="preserve">  Option</w:t>
      </w:r>
      <w:proofErr w:type="gramEnd"/>
      <w:r w:rsidR="00D93FED">
        <w:t xml:space="preserve"> B proposes an immediate</w:t>
      </w:r>
      <w:r w:rsidR="005B7230">
        <w:t xml:space="preserve"> and comprehensive ban </w:t>
      </w:r>
      <w:r w:rsidR="00D93FED">
        <w:t xml:space="preserve">on both telemarketing and doorknocking </w:t>
      </w:r>
      <w:r w:rsidR="002D4BF9">
        <w:t>effective on the same date.</w:t>
      </w:r>
      <w:r w:rsidR="00626B51">
        <w:t xml:space="preserve"> For this reason, </w:t>
      </w:r>
      <w:r w:rsidR="002E43EF">
        <w:t xml:space="preserve">it </w:t>
      </w:r>
      <w:r w:rsidR="00BC7394">
        <w:t xml:space="preserve">is the clearest option in </w:t>
      </w:r>
      <w:r w:rsidR="002E43EF">
        <w:t>preventing additional risk of harm to consumers</w:t>
      </w:r>
      <w:r w:rsidR="00406F75">
        <w:t xml:space="preserve"> </w:t>
      </w:r>
      <w:r w:rsidR="001B0FC3">
        <w:t>by pr</w:t>
      </w:r>
      <w:r w:rsidR="00F6000C">
        <w:t xml:space="preserve">eventing the market from diverting </w:t>
      </w:r>
      <w:proofErr w:type="gramStart"/>
      <w:r w:rsidR="00F6000C">
        <w:t>it’s</w:t>
      </w:r>
      <w:proofErr w:type="gramEnd"/>
      <w:r w:rsidR="00F6000C">
        <w:t xml:space="preserve"> resources to doorknocking, either over the three months outlined in the phased Option C; or in</w:t>
      </w:r>
      <w:r w:rsidR="00831B74">
        <w:t xml:space="preserve"> an ongoing way, if Option A was enacted. </w:t>
      </w:r>
    </w:p>
    <w:p w14:paraId="7A6DC448" w14:textId="74C1B40B" w:rsidR="00AC0237" w:rsidRDefault="00AC0237" w:rsidP="00AC5B13">
      <w:pPr>
        <w:pStyle w:val="ListParagraph"/>
        <w:numPr>
          <w:ilvl w:val="2"/>
          <w:numId w:val="30"/>
        </w:numPr>
        <w:ind w:left="1560"/>
      </w:pPr>
      <w:r>
        <w:t xml:space="preserve">Consumer Action has received a growing number of cases regarding solar panel sales, with linked BNPL financing. It appears low income, regional consumers and people with a disability are disproportionately represented in targeted sales practices. Consumer Action has received nine cases regarding solar sales from August 2023 to time of writing, in comparison to 9 received in total in the previous year. </w:t>
      </w:r>
    </w:p>
    <w:p w14:paraId="00E4DD44" w14:textId="77777777" w:rsidR="00114257" w:rsidRDefault="004D4DB2" w:rsidP="00AC5B13">
      <w:pPr>
        <w:pStyle w:val="ListParagraph"/>
        <w:numPr>
          <w:ilvl w:val="2"/>
          <w:numId w:val="30"/>
        </w:numPr>
        <w:ind w:left="1560"/>
      </w:pPr>
      <w:r>
        <w:t>Consumer Action identified</w:t>
      </w:r>
      <w:r w:rsidR="00AC0237">
        <w:t xml:space="preserve"> unsolicited sales (including via door-to-door and telemarketing); no cooling off periods; providing credit or lending without due diligence; and misrepresenting the costs and benefits to customers. Consumer Action submitted a systemic complaint to both the ACCC &amp; ASIC regarding </w:t>
      </w:r>
      <w:r w:rsidR="00114257">
        <w:t>these</w:t>
      </w:r>
      <w:r w:rsidR="00AC0237">
        <w:t xml:space="preserve"> sales practices leading to financial hardship. </w:t>
      </w:r>
    </w:p>
    <w:p w14:paraId="690BBDDE" w14:textId="110F482C" w:rsidR="00AC0237" w:rsidRDefault="00114257" w:rsidP="00AC5B13">
      <w:pPr>
        <w:pStyle w:val="ListParagraph"/>
        <w:numPr>
          <w:ilvl w:val="2"/>
          <w:numId w:val="30"/>
        </w:numPr>
        <w:ind w:left="1560"/>
      </w:pPr>
      <w:r>
        <w:t>While these cases are not VEU program sales, t</w:t>
      </w:r>
      <w:r w:rsidR="00AC0237">
        <w:t xml:space="preserve">hese cases raise breaches of consumer protections including door-to-door and telemarketing sales by non-Victorian companies. They indicate loopholes with the current Victorian framework that necessitate </w:t>
      </w:r>
      <w:r>
        <w:t>a broad-based ban on unsolicited sales</w:t>
      </w:r>
      <w:r w:rsidR="00E941FF">
        <w:t xml:space="preserve"> </w:t>
      </w:r>
      <w:r w:rsidR="0088738D">
        <w:t>including for</w:t>
      </w:r>
      <w:r w:rsidR="00806CF7">
        <w:t xml:space="preserve"> providers outside of the VEU program.</w:t>
      </w:r>
    </w:p>
    <w:p w14:paraId="1B63AE34" w14:textId="77777777" w:rsidR="00AC5B13" w:rsidRDefault="00AC5B13" w:rsidP="00AC5B13">
      <w:pPr>
        <w:pStyle w:val="ListParagraph"/>
        <w:numPr>
          <w:ilvl w:val="0"/>
          <w:numId w:val="0"/>
        </w:numPr>
        <w:ind w:left="1560"/>
      </w:pPr>
    </w:p>
    <w:p w14:paraId="6A5945FE" w14:textId="3E353D7D" w:rsidR="00F77E73" w:rsidRDefault="00373CA5" w:rsidP="008D2309">
      <w:pPr>
        <w:pStyle w:val="Heading1"/>
      </w:pPr>
      <w:bookmarkStart w:id="11" w:name="_Toc161212555"/>
      <w:r>
        <w:t>Additional considerations</w:t>
      </w:r>
      <w:bookmarkEnd w:id="11"/>
    </w:p>
    <w:p w14:paraId="067C357C" w14:textId="2C54615C" w:rsidR="004611E9" w:rsidRDefault="00696F96" w:rsidP="00373CA5">
      <w:r>
        <w:br/>
      </w:r>
      <w:r w:rsidR="00667266">
        <w:t xml:space="preserve">Consumer Action has outlined in previous reports and submissions the importance of banning telemarketing and doorknocking practices across </w:t>
      </w:r>
      <w:r w:rsidR="004611E9">
        <w:t xml:space="preserve">Victoria, as part of a just and fair market for consumers. </w:t>
      </w:r>
    </w:p>
    <w:p w14:paraId="5F942A5E" w14:textId="7C1E1B6D" w:rsidR="004611E9" w:rsidRDefault="00654D87" w:rsidP="00373CA5">
      <w:r>
        <w:t>In</w:t>
      </w:r>
      <w:r w:rsidR="004611E9">
        <w:t xml:space="preserve"> the context of the VEU program telemarketing and doorknocking ban, </w:t>
      </w:r>
      <w:r>
        <w:t xml:space="preserve">it is important to </w:t>
      </w:r>
      <w:r w:rsidR="00846AB1">
        <w:t>note th</w:t>
      </w:r>
      <w:r w:rsidR="00A2748F">
        <w:t xml:space="preserve">at unsolicited sales practices </w:t>
      </w:r>
      <w:r w:rsidR="000E5BF8">
        <w:t xml:space="preserve">may </w:t>
      </w:r>
      <w:r w:rsidR="00D02280">
        <w:t xml:space="preserve">likely continue </w:t>
      </w:r>
      <w:r w:rsidR="00CF19F5">
        <w:t xml:space="preserve">by </w:t>
      </w:r>
      <w:r w:rsidR="0034723C">
        <w:t xml:space="preserve">retailers unregistered with </w:t>
      </w:r>
      <w:r w:rsidR="002717E2">
        <w:t>both the VEU</w:t>
      </w:r>
      <w:r w:rsidR="007C021B">
        <w:t xml:space="preserve"> or Solar Victoria programs. </w:t>
      </w:r>
    </w:p>
    <w:p w14:paraId="226559D3" w14:textId="300DFA7A" w:rsidR="00AD236B" w:rsidRDefault="00AD236B" w:rsidP="00373CA5">
      <w:r>
        <w:t xml:space="preserve">As the RIS outlines, </w:t>
      </w:r>
      <w:r w:rsidR="00DD53B8">
        <w:t xml:space="preserve">while there are a significant proportion of accredited providers (APs) recorded </w:t>
      </w:r>
      <w:r w:rsidR="001E64B4">
        <w:t xml:space="preserve">in complaints, this only makes up a </w:t>
      </w:r>
      <w:r w:rsidR="00CF7C1B">
        <w:t>percentage of overall unsolicited marketing complaints registered</w:t>
      </w:r>
      <w:r w:rsidR="0053578D">
        <w:t xml:space="preserve"> since 2020</w:t>
      </w:r>
      <w:r w:rsidR="005C2ED0">
        <w:rPr>
          <w:rStyle w:val="FootnoteReference"/>
        </w:rPr>
        <w:footnoteReference w:id="8"/>
      </w:r>
      <w:r w:rsidR="0053578D">
        <w:t xml:space="preserve">. </w:t>
      </w:r>
    </w:p>
    <w:p w14:paraId="3044D52D" w14:textId="7FABC6EA" w:rsidR="0053578D" w:rsidRDefault="0053578D" w:rsidP="00373CA5">
      <w:r>
        <w:t>As Consumer Action has noted</w:t>
      </w:r>
      <w:r w:rsidR="006D5466">
        <w:t xml:space="preserve"> in our previous submission</w:t>
      </w:r>
      <w:r w:rsidR="006D5466">
        <w:rPr>
          <w:rStyle w:val="FootnoteReference"/>
        </w:rPr>
        <w:footnoteReference w:id="9"/>
      </w:r>
      <w:r w:rsidR="006D5466">
        <w:t xml:space="preserve"> and </w:t>
      </w:r>
      <w:r w:rsidR="000F096E">
        <w:rPr>
          <w:i/>
          <w:iCs/>
        </w:rPr>
        <w:t>Sunny Side Up</w:t>
      </w:r>
      <w:r w:rsidR="00D52646">
        <w:rPr>
          <w:i/>
          <w:iCs/>
        </w:rPr>
        <w:t xml:space="preserve"> </w:t>
      </w:r>
      <w:r w:rsidR="00D52646">
        <w:t>report</w:t>
      </w:r>
      <w:r w:rsidR="00CB5EF1">
        <w:rPr>
          <w:rStyle w:val="FootnoteReference"/>
        </w:rPr>
        <w:footnoteReference w:id="10"/>
      </w:r>
      <w:r>
        <w:t xml:space="preserve">, </w:t>
      </w:r>
      <w:r w:rsidR="00486ECF">
        <w:t xml:space="preserve">there has been a significant increase in </w:t>
      </w:r>
      <w:r w:rsidR="00F84BE9">
        <w:t xml:space="preserve">unsolicited and misleading marketing, and unfair contracts in the renewable energy industry in recent years, with significant impact on vulnerable and </w:t>
      </w:r>
      <w:proofErr w:type="gramStart"/>
      <w:r w:rsidR="00F84BE9">
        <w:t>low income</w:t>
      </w:r>
      <w:proofErr w:type="gramEnd"/>
      <w:r w:rsidR="00F84BE9">
        <w:t xml:space="preserve"> consumers. </w:t>
      </w:r>
    </w:p>
    <w:p w14:paraId="576D24AC" w14:textId="5055EB2B" w:rsidR="008F2E58" w:rsidRDefault="008F2E58" w:rsidP="00373CA5">
      <w:r>
        <w:t xml:space="preserve">Additionally, </w:t>
      </w:r>
      <w:r w:rsidR="00125DE5">
        <w:t>the benefits of enacting a ban on unsolicited marketing of the VEU program</w:t>
      </w:r>
      <w:r w:rsidR="00C8016B">
        <w:t xml:space="preserve"> </w:t>
      </w:r>
      <w:r w:rsidR="00125DE5">
        <w:t xml:space="preserve">may risk being limited </w:t>
      </w:r>
      <w:r w:rsidR="0005309B">
        <w:t xml:space="preserve">if </w:t>
      </w:r>
      <w:r w:rsidR="009479C0">
        <w:t xml:space="preserve">this ban is not extended across </w:t>
      </w:r>
      <w:r w:rsidR="00766B76">
        <w:t>all marketing practices across the renewable energy industry.</w:t>
      </w:r>
    </w:p>
    <w:p w14:paraId="4BBAF108" w14:textId="4ECC9FFE" w:rsidR="00696F96" w:rsidRDefault="00F84BE9" w:rsidP="00373CA5">
      <w:r>
        <w:t xml:space="preserve">We submit that it is therefore crucial that </w:t>
      </w:r>
      <w:r w:rsidR="00326092">
        <w:t xml:space="preserve">a statewide ban on telemarketing and doorknocking is extended within three months </w:t>
      </w:r>
      <w:proofErr w:type="gramStart"/>
      <w:r w:rsidR="002405C0">
        <w:t>in order to</w:t>
      </w:r>
      <w:proofErr w:type="gramEnd"/>
      <w:r w:rsidR="002405C0">
        <w:t xml:space="preserve"> </w:t>
      </w:r>
      <w:r w:rsidR="00447D4E">
        <w:t xml:space="preserve">address </w:t>
      </w:r>
      <w:r w:rsidR="008530EE">
        <w:t xml:space="preserve">industry practices outside of Victorian </w:t>
      </w:r>
      <w:r w:rsidR="005C2ED0">
        <w:t>renewable energy programs.</w:t>
      </w:r>
    </w:p>
    <w:p w14:paraId="4B556AFC" w14:textId="77777777" w:rsidR="00040A75" w:rsidRDefault="00040A75" w:rsidP="00AB6B4E"/>
    <w:p w14:paraId="67A9A3EE" w14:textId="77777777" w:rsidR="00AC5B13" w:rsidRDefault="00AC5B13" w:rsidP="00AB6B4E"/>
    <w:p w14:paraId="0FD9AB0C" w14:textId="662BE23C" w:rsidR="002A32DF" w:rsidRDefault="00C201A2" w:rsidP="002F7FC1">
      <w:pPr>
        <w:pStyle w:val="RECOMMENDATIONS"/>
      </w:pPr>
      <w:bookmarkStart w:id="12" w:name="_Toc161157562"/>
      <w:bookmarkStart w:id="13" w:name="_Toc14951317"/>
      <w:bookmarkStart w:id="14" w:name="_Toc14951342"/>
      <w:bookmarkStart w:id="15" w:name="_Toc14951645"/>
      <w:bookmarkStart w:id="16" w:name="_Toc14952042"/>
      <w:bookmarkStart w:id="17" w:name="_Toc14952418"/>
      <w:bookmarkStart w:id="18" w:name="_Toc14952936"/>
      <w:bookmarkStart w:id="19" w:name="_Toc14953120"/>
      <w:bookmarkStart w:id="20" w:name="_Toc14953162"/>
      <w:bookmarkStart w:id="21" w:name="_Toc14953291"/>
      <w:bookmarkStart w:id="22" w:name="_Toc14953526"/>
      <w:bookmarkStart w:id="23" w:name="_Toc14953753"/>
      <w:bookmarkStart w:id="24" w:name="_Toc14953906"/>
      <w:bookmarkStart w:id="25" w:name="_Toc14954428"/>
      <w:bookmarkStart w:id="26" w:name="_Toc14954750"/>
      <w:bookmarkStart w:id="27" w:name="_Toc14955044"/>
      <w:bookmarkStart w:id="28" w:name="_Toc14955103"/>
      <w:bookmarkStart w:id="29" w:name="_Toc14955190"/>
      <w:bookmarkStart w:id="30" w:name="_Toc14955222"/>
      <w:bookmarkStart w:id="31" w:name="_Toc14955250"/>
      <w:bookmarkStart w:id="32" w:name="_Toc14956530"/>
      <w:bookmarkStart w:id="33" w:name="_Toc15035361"/>
      <w:bookmarkStart w:id="34" w:name="_Toc24625888"/>
      <w:bookmarkStart w:id="35" w:name="_Toc24626045"/>
      <w:bookmarkStart w:id="36" w:name="_Toc24626568"/>
      <w:bookmarkStart w:id="37" w:name="_Toc24626657"/>
      <w:bookmarkStart w:id="38" w:name="_Toc24626689"/>
      <w:bookmarkStart w:id="39" w:name="_Toc24626772"/>
      <w:bookmarkStart w:id="40" w:name="_Toc24633544"/>
      <w:r>
        <w:t>That</w:t>
      </w:r>
      <w:r w:rsidR="00EE3912">
        <w:t xml:space="preserve"> telemarketing and doorknocking sales practices are both banned </w:t>
      </w:r>
      <w:r w:rsidR="002A32DF">
        <w:t>on 1</w:t>
      </w:r>
      <w:r w:rsidR="002A32DF" w:rsidRPr="002A32DF">
        <w:rPr>
          <w:vertAlign w:val="superscript"/>
        </w:rPr>
        <w:t>st</w:t>
      </w:r>
      <w:r w:rsidR="002A32DF">
        <w:t xml:space="preserve"> May 2024, as outlined in Option B of the Regulatory Impact Statement (RIS)</w:t>
      </w:r>
      <w:bookmarkEnd w:id="12"/>
      <w:r w:rsidR="002A32DF">
        <w:t xml:space="preserve"> </w:t>
      </w:r>
    </w:p>
    <w:p w14:paraId="22E6B56F" w14:textId="3A4EED55" w:rsidR="0089709A" w:rsidRDefault="002A32DF" w:rsidP="00C64D58">
      <w:pPr>
        <w:pStyle w:val="RECOMMENDATIONS"/>
      </w:pPr>
      <w:bookmarkStart w:id="41" w:name="_Toc161157563"/>
      <w:r>
        <w:t>That</w:t>
      </w:r>
      <w:r w:rsidR="001E1194">
        <w:t xml:space="preserve"> a </w:t>
      </w:r>
      <w:r w:rsidR="007D6D90">
        <w:t xml:space="preserve">Victorian </w:t>
      </w:r>
      <w:r w:rsidR="001E1194">
        <w:t>ban o</w:t>
      </w:r>
      <w:r w:rsidR="007D6D90">
        <w:t>n</w:t>
      </w:r>
      <w:r w:rsidR="001E1194">
        <w:t xml:space="preserve"> unsolicited sales practices of new energy products is enacte</w:t>
      </w:r>
      <w:r w:rsidR="007D6D90">
        <w:t xml:space="preserve">d </w:t>
      </w:r>
      <w:r w:rsidR="009F3363">
        <w:t>within three months of the VEU program ban.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91BFB45" w14:textId="41147899" w:rsidR="00A72632" w:rsidRDefault="00A72632" w:rsidP="00A72632"/>
    <w:p w14:paraId="618354E4" w14:textId="428F138D" w:rsidR="00A72632" w:rsidRPr="00441A50" w:rsidRDefault="00A72632" w:rsidP="00A72632">
      <w:r>
        <w:t>P</w:t>
      </w:r>
      <w:r w:rsidRPr="00441A50">
        <w:t xml:space="preserve">lease contact </w:t>
      </w:r>
      <w:r>
        <w:t xml:space="preserve">Policy Officer </w:t>
      </w:r>
      <w:sdt>
        <w:sdtPr>
          <w:rPr>
            <w:highlight w:val="yellow"/>
          </w:rPr>
          <w:id w:val="1934012300"/>
          <w:placeholder>
            <w:docPart w:val="580B3B8BBE40483AA4642DDB4CB71503"/>
          </w:placeholder>
        </w:sdtPr>
        <w:sdtEndPr>
          <w:rPr>
            <w:b/>
            <w:highlight w:val="none"/>
          </w:rPr>
        </w:sdtEndPr>
        <w:sdtContent>
          <w:r w:rsidR="009F6708">
            <w:rPr>
              <w:b/>
            </w:rPr>
            <w:t>Eirene Tsolidis Noyce</w:t>
          </w:r>
        </w:sdtContent>
      </w:sdt>
      <w:r>
        <w:t xml:space="preserve"> at </w:t>
      </w:r>
      <w:r w:rsidRPr="000A4B03">
        <w:rPr>
          <w:b/>
        </w:rPr>
        <w:t>Consumer Action Law Centre</w:t>
      </w:r>
      <w:r w:rsidRPr="00441A50">
        <w:t xml:space="preserve"> on </w:t>
      </w:r>
      <w:r w:rsidRPr="000A4B03">
        <w:rPr>
          <w:rFonts w:asciiTheme="minorHAnsi" w:hAnsiTheme="minorHAnsi" w:cstheme="minorHAnsi"/>
        </w:rPr>
        <w:t>03 9670 5088</w:t>
      </w:r>
      <w:r w:rsidRPr="00441A50">
        <w:t xml:space="preserve"> or at </w:t>
      </w:r>
      <w:hyperlink r:id="rId15" w:history="1">
        <w:r w:rsidR="009F6708" w:rsidRPr="00C625FF">
          <w:rPr>
            <w:rStyle w:val="Hyperlink"/>
          </w:rPr>
          <w:t>eirene@consumeraction.org.au</w:t>
        </w:r>
      </w:hyperlink>
      <w:r w:rsidRPr="00441A50">
        <w:t xml:space="preserve"> if you </w:t>
      </w:r>
      <w:r>
        <w:t xml:space="preserve">have any questions about this submission. </w:t>
      </w:r>
    </w:p>
    <w:p w14:paraId="70E9BC8B" w14:textId="77777777" w:rsidR="009F6708" w:rsidRDefault="009F6708" w:rsidP="00A72632"/>
    <w:p w14:paraId="065C8BF8" w14:textId="2667A320" w:rsidR="00A72632" w:rsidRPr="00441A50" w:rsidRDefault="00A72632" w:rsidP="00A72632">
      <w:r w:rsidRPr="00441A50">
        <w:t>Yours Sincerely,</w:t>
      </w:r>
    </w:p>
    <w:p w14:paraId="2772541B" w14:textId="77777777" w:rsidR="005569AB" w:rsidRDefault="005569AB" w:rsidP="005569AB">
      <w:pPr>
        <w:pStyle w:val="NoSpacing"/>
        <w:rPr>
          <w:b/>
        </w:rPr>
      </w:pPr>
    </w:p>
    <w:p w14:paraId="68114D53" w14:textId="77777777" w:rsidR="005569AB" w:rsidRDefault="005569AB" w:rsidP="005569AB">
      <w:pPr>
        <w:pStyle w:val="NoSpacing"/>
        <w:rPr>
          <w:b/>
        </w:rPr>
      </w:pPr>
      <w:r w:rsidRPr="00CC6849">
        <w:rPr>
          <w:b/>
        </w:rPr>
        <w:t>CONSUMER ACTION LAW CENTRE</w:t>
      </w:r>
    </w:p>
    <w:p w14:paraId="7AD047DC" w14:textId="77777777" w:rsidR="00FA755C" w:rsidRDefault="00FA755C" w:rsidP="005569AB">
      <w:pPr>
        <w:pStyle w:val="NoSpacing"/>
        <w:rPr>
          <w:b/>
        </w:rPr>
      </w:pPr>
    </w:p>
    <w:p w14:paraId="2361B38B" w14:textId="53397F42" w:rsidR="00FA755C" w:rsidRDefault="006F2841" w:rsidP="005569AB">
      <w:pPr>
        <w:pStyle w:val="NoSpacing"/>
        <w:rPr>
          <w:b/>
        </w:rPr>
      </w:pPr>
      <w:r>
        <w:rPr>
          <w:b/>
          <w:noProof/>
        </w:rPr>
        <w:drawing>
          <wp:inline distT="0" distB="0" distL="0" distR="0" wp14:anchorId="6C2200DE" wp14:editId="1C53BAFF">
            <wp:extent cx="1543050" cy="942975"/>
            <wp:effectExtent l="0" t="0" r="0" b="9525"/>
            <wp:docPr id="2007411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p w14:paraId="76318F45" w14:textId="77777777" w:rsidR="00FA755C" w:rsidRDefault="00FA755C" w:rsidP="005569AB">
      <w:pPr>
        <w:pStyle w:val="NoSpacing"/>
        <w:rPr>
          <w:b/>
        </w:rPr>
      </w:pPr>
    </w:p>
    <w:p w14:paraId="6652379C" w14:textId="77777777" w:rsidR="00FA755C" w:rsidRDefault="00FA755C" w:rsidP="005569AB">
      <w:pPr>
        <w:pStyle w:val="NoSpacing"/>
        <w:rPr>
          <w:b/>
        </w:rPr>
      </w:pPr>
    </w:p>
    <w:p w14:paraId="7B2C4B16" w14:textId="77777777" w:rsidR="00FA755C" w:rsidRDefault="00FA755C" w:rsidP="005569AB">
      <w:pPr>
        <w:pStyle w:val="NoSpacing"/>
        <w:rPr>
          <w:b/>
        </w:rPr>
      </w:pPr>
    </w:p>
    <w:p w14:paraId="5793DD76" w14:textId="4231384F" w:rsidR="0049051D" w:rsidRPr="005C2ED0" w:rsidRDefault="005E00A8" w:rsidP="005569AB">
      <w:pPr>
        <w:pStyle w:val="NoSpacing"/>
      </w:pPr>
      <w:sdt>
        <w:sdtPr>
          <w:rPr>
            <w:highlight w:val="yellow"/>
          </w:rPr>
          <w:id w:val="138926303"/>
          <w:placeholder>
            <w:docPart w:val="1592E3A46258436AAA594E8FBD31029C"/>
          </w:placeholder>
        </w:sdtPr>
        <w:sdtEndPr>
          <w:rPr>
            <w:b/>
            <w:highlight w:val="none"/>
          </w:rPr>
        </w:sdtEndPr>
        <w:sdtContent>
          <w:r w:rsidR="009F6708">
            <w:rPr>
              <w:b/>
            </w:rPr>
            <w:t>Stephanie Tonkin</w:t>
          </w:r>
        </w:sdtContent>
      </w:sdt>
      <w:r w:rsidR="00FA755C" w:rsidRPr="008B3CF5">
        <w:rPr>
          <w:b/>
          <w:color w:val="99CC00"/>
        </w:rPr>
        <w:t xml:space="preserve"> |</w:t>
      </w:r>
      <w:r w:rsidR="00FA755C" w:rsidRPr="008B3CF5">
        <w:rPr>
          <w:color w:val="99CC00"/>
        </w:rPr>
        <w:t xml:space="preserve"> </w:t>
      </w:r>
      <w:sdt>
        <w:sdtPr>
          <w:rPr>
            <w:color w:val="99CC00"/>
          </w:rPr>
          <w:id w:val="-953709524"/>
          <w:placeholder>
            <w:docPart w:val="580B3B8BBE40483AA4642DDB4CB71503"/>
          </w:placeholder>
        </w:sdtPr>
        <w:sdtEndPr>
          <w:rPr>
            <w:color w:val="000000" w:themeColor="text1"/>
          </w:rPr>
        </w:sdtEndPr>
        <w:sdtContent>
          <w:r w:rsidR="009F6708">
            <w:t>Chief Executive Officer</w:t>
          </w:r>
        </w:sdtContent>
      </w:sdt>
    </w:p>
    <w:p w14:paraId="5EA3E530" w14:textId="77777777" w:rsidR="0049051D" w:rsidRDefault="0049051D" w:rsidP="005569AB">
      <w:pPr>
        <w:pStyle w:val="NoSpacing"/>
        <w:rPr>
          <w:b/>
        </w:rPr>
      </w:pPr>
    </w:p>
    <w:p w14:paraId="509C3CCD" w14:textId="77777777" w:rsidR="0049051D" w:rsidRDefault="0049051D" w:rsidP="005569AB">
      <w:pPr>
        <w:pStyle w:val="NoSpacing"/>
        <w:rPr>
          <w:b/>
        </w:rPr>
      </w:pPr>
    </w:p>
    <w:p w14:paraId="458D11CA" w14:textId="77777777" w:rsidR="0049051D" w:rsidRDefault="0049051D" w:rsidP="0049051D">
      <w:pPr>
        <w:pStyle w:val="NoSpacing"/>
        <w:rPr>
          <w:b/>
        </w:rPr>
      </w:pPr>
    </w:p>
    <w:sectPr w:rsidR="0049051D" w:rsidSect="00FE2BA0">
      <w:pgSz w:w="11906" w:h="16838"/>
      <w:pgMar w:top="1134" w:right="851" w:bottom="1134"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0DB94" w14:textId="77777777" w:rsidR="00FE2BA0" w:rsidRDefault="00FE2BA0" w:rsidP="00860E69">
      <w:pPr>
        <w:spacing w:after="0" w:line="240" w:lineRule="auto"/>
      </w:pPr>
      <w:r>
        <w:separator/>
      </w:r>
    </w:p>
  </w:endnote>
  <w:endnote w:type="continuationSeparator" w:id="0">
    <w:p w14:paraId="1CCAA2D0" w14:textId="77777777" w:rsidR="00FE2BA0" w:rsidRDefault="00FE2BA0" w:rsidP="00860E69">
      <w:pPr>
        <w:spacing w:after="0" w:line="240" w:lineRule="auto"/>
      </w:pPr>
      <w:r>
        <w:continuationSeparator/>
      </w:r>
    </w:p>
  </w:endnote>
  <w:endnote w:type="continuationNotice" w:id="1">
    <w:p w14:paraId="13521DB3" w14:textId="77777777" w:rsidR="00FE2BA0" w:rsidRDefault="00FE2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808285" w:themeColor="accent1"/>
      </w:rPr>
      <w:id w:val="2091423800"/>
      <w:docPartObj>
        <w:docPartGallery w:val="Page Numbers (Bottom of Page)"/>
        <w:docPartUnique/>
      </w:docPartObj>
    </w:sdtPr>
    <w:sdtEndPr/>
    <w:sdtContent>
      <w:sdt>
        <w:sdtPr>
          <w:rPr>
            <w:color w:val="808285" w:themeColor="accent1"/>
          </w:rPr>
          <w:id w:val="1728636285"/>
          <w:docPartObj>
            <w:docPartGallery w:val="Page Numbers (Top of Page)"/>
            <w:docPartUnique/>
          </w:docPartObj>
        </w:sdtPr>
        <w:sdtEndPr/>
        <w:sdtContent>
          <w:p w14:paraId="57C3D923" w14:textId="77777777" w:rsidR="005E4871" w:rsidRPr="005E4871" w:rsidRDefault="005E4871">
            <w:pPr>
              <w:pStyle w:val="Footer"/>
              <w:jc w:val="center"/>
              <w:rPr>
                <w:color w:val="808285" w:themeColor="accent1"/>
              </w:rPr>
            </w:pPr>
            <w:r w:rsidRPr="005E4871">
              <w:rPr>
                <w:color w:val="808285" w:themeColor="accent1"/>
              </w:rPr>
              <w:t xml:space="preserve">Page </w:t>
            </w:r>
            <w:r w:rsidRPr="005E4871">
              <w:rPr>
                <w:b/>
                <w:bCs/>
                <w:color w:val="808285" w:themeColor="accent1"/>
                <w:sz w:val="24"/>
                <w:szCs w:val="24"/>
              </w:rPr>
              <w:fldChar w:fldCharType="begin"/>
            </w:r>
            <w:r w:rsidRPr="005E4871">
              <w:rPr>
                <w:b/>
                <w:bCs/>
                <w:color w:val="808285" w:themeColor="accent1"/>
              </w:rPr>
              <w:instrText xml:space="preserve"> PAGE </w:instrText>
            </w:r>
            <w:r w:rsidRPr="005E4871">
              <w:rPr>
                <w:b/>
                <w:bCs/>
                <w:color w:val="808285" w:themeColor="accent1"/>
                <w:sz w:val="24"/>
                <w:szCs w:val="24"/>
              </w:rPr>
              <w:fldChar w:fldCharType="separate"/>
            </w:r>
            <w:r w:rsidRPr="005E4871">
              <w:rPr>
                <w:b/>
                <w:bCs/>
                <w:noProof/>
                <w:color w:val="808285" w:themeColor="accent1"/>
              </w:rPr>
              <w:t>2</w:t>
            </w:r>
            <w:r w:rsidRPr="005E4871">
              <w:rPr>
                <w:b/>
                <w:bCs/>
                <w:color w:val="808285" w:themeColor="accent1"/>
                <w:sz w:val="24"/>
                <w:szCs w:val="24"/>
              </w:rPr>
              <w:fldChar w:fldCharType="end"/>
            </w:r>
            <w:r w:rsidRPr="005E4871">
              <w:rPr>
                <w:color w:val="808285" w:themeColor="accent1"/>
              </w:rPr>
              <w:t xml:space="preserve"> of </w:t>
            </w:r>
            <w:r w:rsidRPr="005E4871">
              <w:rPr>
                <w:b/>
                <w:bCs/>
                <w:color w:val="808285" w:themeColor="accent1"/>
                <w:sz w:val="24"/>
                <w:szCs w:val="24"/>
              </w:rPr>
              <w:fldChar w:fldCharType="begin"/>
            </w:r>
            <w:r w:rsidRPr="005E4871">
              <w:rPr>
                <w:b/>
                <w:bCs/>
                <w:color w:val="808285" w:themeColor="accent1"/>
              </w:rPr>
              <w:instrText xml:space="preserve"> NUMPAGES  </w:instrText>
            </w:r>
            <w:r w:rsidRPr="005E4871">
              <w:rPr>
                <w:b/>
                <w:bCs/>
                <w:color w:val="808285" w:themeColor="accent1"/>
                <w:sz w:val="24"/>
                <w:szCs w:val="24"/>
              </w:rPr>
              <w:fldChar w:fldCharType="separate"/>
            </w:r>
            <w:r w:rsidRPr="005E4871">
              <w:rPr>
                <w:b/>
                <w:bCs/>
                <w:noProof/>
                <w:color w:val="808285" w:themeColor="accent1"/>
              </w:rPr>
              <w:t>2</w:t>
            </w:r>
            <w:r w:rsidRPr="005E4871">
              <w:rPr>
                <w:b/>
                <w:bCs/>
                <w:color w:val="808285" w:themeColor="accent1"/>
                <w:sz w:val="24"/>
                <w:szCs w:val="24"/>
              </w:rPr>
              <w:fldChar w:fldCharType="end"/>
            </w:r>
          </w:p>
        </w:sdtContent>
      </w:sdt>
    </w:sdtContent>
  </w:sdt>
  <w:p w14:paraId="0F6E059C" w14:textId="77777777" w:rsidR="005E4871" w:rsidRDefault="005E4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808285" w:themeColor="accent1"/>
      </w:rPr>
      <w:id w:val="-395516752"/>
      <w:docPartObj>
        <w:docPartGallery w:val="Page Numbers (Bottom of Page)"/>
        <w:docPartUnique/>
      </w:docPartObj>
    </w:sdtPr>
    <w:sdtEndPr/>
    <w:sdtContent>
      <w:sdt>
        <w:sdtPr>
          <w:rPr>
            <w:color w:val="808285" w:themeColor="accent1"/>
          </w:rPr>
          <w:id w:val="-419717040"/>
          <w:docPartObj>
            <w:docPartGallery w:val="Page Numbers (Top of Page)"/>
            <w:docPartUnique/>
          </w:docPartObj>
        </w:sdtPr>
        <w:sdtEndPr/>
        <w:sdtContent>
          <w:p w14:paraId="64C2AE44" w14:textId="77777777" w:rsidR="00A13FD0" w:rsidRPr="002B40C3" w:rsidRDefault="00A13FD0">
            <w:pPr>
              <w:pStyle w:val="Footer"/>
              <w:jc w:val="center"/>
              <w:rPr>
                <w:color w:val="808285" w:themeColor="accent1"/>
              </w:rPr>
            </w:pPr>
            <w:r w:rsidRPr="002B40C3">
              <w:rPr>
                <w:color w:val="808285" w:themeColor="accent1"/>
              </w:rPr>
              <w:t xml:space="preserve">Page </w:t>
            </w:r>
            <w:r w:rsidRPr="002B40C3">
              <w:rPr>
                <w:b/>
                <w:bCs/>
                <w:color w:val="808285" w:themeColor="accent1"/>
                <w:sz w:val="24"/>
                <w:szCs w:val="24"/>
              </w:rPr>
              <w:fldChar w:fldCharType="begin"/>
            </w:r>
            <w:r w:rsidRPr="002B40C3">
              <w:rPr>
                <w:b/>
                <w:bCs/>
                <w:color w:val="808285" w:themeColor="accent1"/>
              </w:rPr>
              <w:instrText xml:space="preserve"> PAGE </w:instrText>
            </w:r>
            <w:r w:rsidRPr="002B40C3">
              <w:rPr>
                <w:b/>
                <w:bCs/>
                <w:color w:val="808285" w:themeColor="accent1"/>
                <w:sz w:val="24"/>
                <w:szCs w:val="24"/>
              </w:rPr>
              <w:fldChar w:fldCharType="separate"/>
            </w:r>
            <w:r w:rsidRPr="002B40C3">
              <w:rPr>
                <w:b/>
                <w:bCs/>
                <w:noProof/>
                <w:color w:val="808285" w:themeColor="accent1"/>
              </w:rPr>
              <w:t>2</w:t>
            </w:r>
            <w:r w:rsidRPr="002B40C3">
              <w:rPr>
                <w:b/>
                <w:bCs/>
                <w:color w:val="808285" w:themeColor="accent1"/>
                <w:sz w:val="24"/>
                <w:szCs w:val="24"/>
              </w:rPr>
              <w:fldChar w:fldCharType="end"/>
            </w:r>
            <w:r w:rsidRPr="002B40C3">
              <w:rPr>
                <w:color w:val="808285" w:themeColor="accent1"/>
              </w:rPr>
              <w:t xml:space="preserve"> of </w:t>
            </w:r>
            <w:r w:rsidRPr="002B40C3">
              <w:rPr>
                <w:b/>
                <w:bCs/>
                <w:color w:val="808285" w:themeColor="accent1"/>
                <w:sz w:val="24"/>
                <w:szCs w:val="24"/>
              </w:rPr>
              <w:fldChar w:fldCharType="begin"/>
            </w:r>
            <w:r w:rsidRPr="002B40C3">
              <w:rPr>
                <w:b/>
                <w:bCs/>
                <w:color w:val="808285" w:themeColor="accent1"/>
              </w:rPr>
              <w:instrText xml:space="preserve"> NUMPAGES  </w:instrText>
            </w:r>
            <w:r w:rsidRPr="002B40C3">
              <w:rPr>
                <w:b/>
                <w:bCs/>
                <w:color w:val="808285" w:themeColor="accent1"/>
                <w:sz w:val="24"/>
                <w:szCs w:val="24"/>
              </w:rPr>
              <w:fldChar w:fldCharType="separate"/>
            </w:r>
            <w:r w:rsidRPr="002B40C3">
              <w:rPr>
                <w:b/>
                <w:bCs/>
                <w:noProof/>
                <w:color w:val="808285" w:themeColor="accent1"/>
              </w:rPr>
              <w:t>2</w:t>
            </w:r>
            <w:r w:rsidRPr="002B40C3">
              <w:rPr>
                <w:b/>
                <w:bCs/>
                <w:color w:val="808285" w:themeColor="accent1"/>
                <w:sz w:val="24"/>
                <w:szCs w:val="24"/>
              </w:rPr>
              <w:fldChar w:fldCharType="end"/>
            </w:r>
          </w:p>
        </w:sdtContent>
      </w:sdt>
    </w:sdtContent>
  </w:sdt>
  <w:p w14:paraId="1BA46077" w14:textId="77777777" w:rsidR="00FC0051" w:rsidRDefault="00166E6C">
    <w:pPr>
      <w:pStyle w:val="Footer"/>
    </w:pPr>
    <w:r>
      <w:rPr>
        <w:noProof/>
      </w:rPr>
      <w:drawing>
        <wp:anchor distT="0" distB="0" distL="114300" distR="114300" simplePos="0" relativeHeight="251658241" behindDoc="1" locked="0" layoutInCell="1" allowOverlap="1" wp14:anchorId="3EEA1F0D" wp14:editId="36B609DE">
          <wp:simplePos x="0" y="0"/>
          <wp:positionH relativeFrom="column">
            <wp:posOffset>0</wp:posOffset>
          </wp:positionH>
          <wp:positionV relativeFrom="paragraph">
            <wp:posOffset>511715</wp:posOffset>
          </wp:positionV>
          <wp:extent cx="6479540" cy="188849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LC_Template_Header_Logo&amp;Contact.png"/>
                  <pic:cNvPicPr/>
                </pic:nvPicPr>
                <pic:blipFill>
                  <a:blip r:embed="rId1">
                    <a:extLst>
                      <a:ext uri="{28A0092B-C50C-407E-A947-70E740481C1C}">
                        <a14:useLocalDpi xmlns:a14="http://schemas.microsoft.com/office/drawing/2010/main" val="0"/>
                      </a:ext>
                    </a:extLst>
                  </a:blip>
                  <a:stretch>
                    <a:fillRect/>
                  </a:stretch>
                </pic:blipFill>
                <pic:spPr>
                  <a:xfrm>
                    <a:off x="0" y="0"/>
                    <a:ext cx="6479540" cy="18884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18FD4" w14:textId="77777777" w:rsidR="00FE2BA0" w:rsidRDefault="00FE2BA0" w:rsidP="00860E69">
      <w:pPr>
        <w:spacing w:after="0" w:line="240" w:lineRule="auto"/>
      </w:pPr>
      <w:r>
        <w:separator/>
      </w:r>
    </w:p>
  </w:footnote>
  <w:footnote w:type="continuationSeparator" w:id="0">
    <w:p w14:paraId="31860EFF" w14:textId="77777777" w:rsidR="00FE2BA0" w:rsidRDefault="00FE2BA0" w:rsidP="00860E69">
      <w:pPr>
        <w:spacing w:after="0" w:line="240" w:lineRule="auto"/>
      </w:pPr>
      <w:r>
        <w:continuationSeparator/>
      </w:r>
    </w:p>
  </w:footnote>
  <w:footnote w:type="continuationNotice" w:id="1">
    <w:p w14:paraId="5A13B0FD" w14:textId="77777777" w:rsidR="00FE2BA0" w:rsidRDefault="00FE2BA0">
      <w:pPr>
        <w:spacing w:after="0" w:line="240" w:lineRule="auto"/>
      </w:pPr>
    </w:p>
  </w:footnote>
  <w:footnote w:id="2">
    <w:p w14:paraId="306ABB70" w14:textId="2E2D9E75" w:rsidR="005823EF" w:rsidRPr="005823EF" w:rsidRDefault="005823EF">
      <w:pPr>
        <w:pStyle w:val="FootnoteText"/>
        <w:rPr>
          <w:lang w:val="en-US"/>
        </w:rPr>
      </w:pPr>
      <w:r>
        <w:rPr>
          <w:rStyle w:val="FootnoteReference"/>
        </w:rPr>
        <w:footnoteRef/>
      </w:r>
      <w:r>
        <w:t xml:space="preserve"> </w:t>
      </w:r>
      <w:hyperlink r:id="rId1" w:history="1">
        <w:r w:rsidR="000C1901">
          <w:rPr>
            <w:rStyle w:val="Hyperlink"/>
          </w:rPr>
          <w:t>Banning telemarketing under the Victorian Energy Upgrades program - Consumer Action Law Centre</w:t>
        </w:r>
      </w:hyperlink>
      <w:r w:rsidR="000C1901">
        <w:t xml:space="preserve"> </w:t>
      </w:r>
      <w:r w:rsidR="001D3F34">
        <w:t>July 2023, Consumer Action Law Centre</w:t>
      </w:r>
    </w:p>
  </w:footnote>
  <w:footnote w:id="3">
    <w:p w14:paraId="710EC2E9" w14:textId="2F2E97C1" w:rsidR="00C06D6C" w:rsidRPr="00C06D6C" w:rsidRDefault="00C06D6C">
      <w:pPr>
        <w:pStyle w:val="FootnoteText"/>
        <w:rPr>
          <w:i/>
          <w:iCs/>
          <w:lang w:val="en-US"/>
        </w:rPr>
      </w:pPr>
      <w:r>
        <w:rPr>
          <w:rStyle w:val="FootnoteReference"/>
        </w:rPr>
        <w:footnoteRef/>
      </w:r>
      <w:r>
        <w:t xml:space="preserve"> </w:t>
      </w:r>
      <w:hyperlink r:id="rId2" w:history="1">
        <w:r w:rsidR="00BA253F" w:rsidRPr="00764D33">
          <w:rPr>
            <w:rStyle w:val="Hyperlink"/>
            <w:i/>
            <w:iCs/>
          </w:rPr>
          <w:t>Coercion and harassment at the door: Consumer experiences with direct marketers</w:t>
        </w:r>
      </w:hyperlink>
      <w:r w:rsidR="0098041D">
        <w:rPr>
          <w:rStyle w:val="Hyperlink"/>
          <w:i/>
          <w:iCs/>
        </w:rPr>
        <w:t xml:space="preserve"> </w:t>
      </w:r>
      <w:r w:rsidR="001D3F34">
        <w:t>November 2007, C</w:t>
      </w:r>
      <w:r w:rsidR="0098041D">
        <w:t>onsumer Action Law Centre and the Financial and Consumer Rights Council</w:t>
      </w:r>
    </w:p>
  </w:footnote>
  <w:footnote w:id="4">
    <w:p w14:paraId="785635F9" w14:textId="5E71ADF6" w:rsidR="008C49FE" w:rsidRPr="008C49FE" w:rsidRDefault="008C49FE">
      <w:pPr>
        <w:pStyle w:val="FootnoteText"/>
        <w:rPr>
          <w:lang w:val="en-US"/>
        </w:rPr>
      </w:pPr>
      <w:r>
        <w:rPr>
          <w:rStyle w:val="FootnoteReference"/>
        </w:rPr>
        <w:footnoteRef/>
      </w:r>
      <w:r>
        <w:t xml:space="preserve"> </w:t>
      </w:r>
      <w:hyperlink r:id="rId3" w:history="1">
        <w:r w:rsidRPr="00FD3ACF">
          <w:rPr>
            <w:rStyle w:val="Hyperlink"/>
            <w:i/>
            <w:iCs/>
          </w:rPr>
          <w:t xml:space="preserve">Knock </w:t>
        </w:r>
        <w:proofErr w:type="spellStart"/>
        <w:r w:rsidRPr="00FD3ACF">
          <w:rPr>
            <w:rStyle w:val="Hyperlink"/>
            <w:i/>
            <w:iCs/>
          </w:rPr>
          <w:t>if</w:t>
        </w:r>
        <w:proofErr w:type="spellEnd"/>
        <w:r w:rsidRPr="00FD3ACF">
          <w:rPr>
            <w:rStyle w:val="Hyperlink"/>
            <w:i/>
            <w:iCs/>
          </w:rPr>
          <w:t xml:space="preserve"> off! Door-to-door sales and consumer harm in Victoria</w:t>
        </w:r>
      </w:hyperlink>
      <w:r w:rsidR="0098041D">
        <w:rPr>
          <w:rStyle w:val="Hyperlink"/>
          <w:i/>
          <w:iCs/>
        </w:rPr>
        <w:t xml:space="preserve"> </w:t>
      </w:r>
      <w:r w:rsidR="001B4CDB">
        <w:t>November 2017, C</w:t>
      </w:r>
      <w:r w:rsidR="0098041D">
        <w:t xml:space="preserve">onsumer Action Law Centre, Loddon Campaspe and </w:t>
      </w:r>
      <w:proofErr w:type="spellStart"/>
      <w:r w:rsidR="0098041D">
        <w:t>WEstjustice</w:t>
      </w:r>
      <w:proofErr w:type="spellEnd"/>
    </w:p>
  </w:footnote>
  <w:footnote w:id="5">
    <w:p w14:paraId="41A404A9" w14:textId="2DCBBF57" w:rsidR="0062025C" w:rsidRPr="0062025C" w:rsidRDefault="0062025C">
      <w:pPr>
        <w:pStyle w:val="FootnoteText"/>
        <w:rPr>
          <w:lang w:val="en-US"/>
        </w:rPr>
      </w:pPr>
      <w:r>
        <w:rPr>
          <w:rStyle w:val="FootnoteReference"/>
        </w:rPr>
        <w:footnoteRef/>
      </w:r>
      <w:r>
        <w:t xml:space="preserve"> </w:t>
      </w:r>
      <w:hyperlink r:id="rId4" w:history="1">
        <w:r>
          <w:rPr>
            <w:rStyle w:val="Hyperlink"/>
          </w:rPr>
          <w:t>New Polling: 3 in 4 Australians want ban on door-to-door sales - Consumer Action Law Centre</w:t>
        </w:r>
      </w:hyperlink>
      <w:r>
        <w:t xml:space="preserve"> May 2016</w:t>
      </w:r>
      <w:r w:rsidR="00A44D38">
        <w:t>, Consumer Action Law Centre</w:t>
      </w:r>
    </w:p>
  </w:footnote>
  <w:footnote w:id="6">
    <w:p w14:paraId="2AB689B1" w14:textId="77777777" w:rsidR="00F76A67" w:rsidRPr="00EC0E07" w:rsidRDefault="00F76A67" w:rsidP="00F76A67">
      <w:pPr>
        <w:pStyle w:val="FootnoteText"/>
        <w:rPr>
          <w:i/>
          <w:iCs/>
          <w:lang w:val="en-US"/>
        </w:rPr>
      </w:pPr>
      <w:r>
        <w:rPr>
          <w:rStyle w:val="FootnoteReference"/>
        </w:rPr>
        <w:footnoteRef/>
      </w:r>
      <w:r>
        <w:t xml:space="preserve"> Engage Victoria; </w:t>
      </w:r>
      <w:r>
        <w:rPr>
          <w:i/>
          <w:iCs/>
        </w:rPr>
        <w:t xml:space="preserve">Regulatory Impact Statement: </w:t>
      </w:r>
      <w:hyperlink r:id="rId5" w:history="1">
        <w:r>
          <w:rPr>
            <w:rStyle w:val="Hyperlink"/>
          </w:rPr>
          <w:t>Banning telemarketing under the Victorian Energy Upgrades program | Engage Victoria</w:t>
        </w:r>
      </w:hyperlink>
    </w:p>
  </w:footnote>
  <w:footnote w:id="7">
    <w:p w14:paraId="5A67F397" w14:textId="24BA2956" w:rsidR="00D57446" w:rsidRPr="00D57446" w:rsidRDefault="00D57446">
      <w:pPr>
        <w:pStyle w:val="FootnoteText"/>
        <w:rPr>
          <w:lang w:val="en-US"/>
        </w:rPr>
      </w:pPr>
      <w:r>
        <w:rPr>
          <w:rStyle w:val="FootnoteReference"/>
        </w:rPr>
        <w:footnoteRef/>
      </w:r>
      <w:r>
        <w:t xml:space="preserve"> </w:t>
      </w:r>
      <w:r>
        <w:rPr>
          <w:i/>
          <w:iCs/>
          <w:lang w:val="en-US"/>
        </w:rPr>
        <w:t xml:space="preserve">Ibid. </w:t>
      </w:r>
      <w:r>
        <w:rPr>
          <w:lang w:val="en-US"/>
        </w:rPr>
        <w:t>p</w:t>
      </w:r>
      <w:r w:rsidR="00350392">
        <w:rPr>
          <w:lang w:val="en-US"/>
        </w:rPr>
        <w:t>. 29</w:t>
      </w:r>
    </w:p>
  </w:footnote>
  <w:footnote w:id="8">
    <w:p w14:paraId="234EE8D9" w14:textId="20973E78" w:rsidR="005C2ED0" w:rsidRPr="005C2ED0" w:rsidRDefault="005C2ED0">
      <w:pPr>
        <w:pStyle w:val="FootnoteText"/>
        <w:rPr>
          <w:lang w:val="en-US"/>
        </w:rPr>
      </w:pPr>
      <w:r>
        <w:rPr>
          <w:rStyle w:val="FootnoteReference"/>
        </w:rPr>
        <w:footnoteRef/>
      </w:r>
      <w:r>
        <w:t xml:space="preserve"> </w:t>
      </w:r>
      <w:r w:rsidR="00A625A5">
        <w:t xml:space="preserve">Regulatory Impact Statement </w:t>
      </w:r>
      <w:hyperlink r:id="rId6" w:history="1">
        <w:r w:rsidR="005E0264">
          <w:rPr>
            <w:rStyle w:val="Hyperlink"/>
          </w:rPr>
          <w:t>Banning telemarketing under the Victorian Energy Upgrades program | Engage Victoria</w:t>
        </w:r>
      </w:hyperlink>
      <w:r w:rsidR="00A625A5">
        <w:t xml:space="preserve"> p. </w:t>
      </w:r>
      <w:r w:rsidR="000A191D">
        <w:t>27</w:t>
      </w:r>
    </w:p>
  </w:footnote>
  <w:footnote w:id="9">
    <w:p w14:paraId="51D72EA0" w14:textId="69DB72AD" w:rsidR="006D5466" w:rsidRPr="006D5466" w:rsidRDefault="006D5466">
      <w:pPr>
        <w:pStyle w:val="FootnoteText"/>
        <w:rPr>
          <w:lang w:val="en-US"/>
        </w:rPr>
      </w:pPr>
      <w:r>
        <w:rPr>
          <w:rStyle w:val="FootnoteReference"/>
        </w:rPr>
        <w:footnoteRef/>
      </w:r>
      <w:r>
        <w:t xml:space="preserve"> </w:t>
      </w:r>
      <w:hyperlink r:id="rId7" w:history="1">
        <w:r>
          <w:rPr>
            <w:rStyle w:val="Hyperlink"/>
          </w:rPr>
          <w:t>Banning telemarketing under the Victorian Energy Upgrades program - Consumer Action Law Centre</w:t>
        </w:r>
      </w:hyperlink>
      <w:r>
        <w:t xml:space="preserve"> July 2023, Consumer Action Law Centre</w:t>
      </w:r>
    </w:p>
  </w:footnote>
  <w:footnote w:id="10">
    <w:p w14:paraId="7BFAF8B0" w14:textId="074AB4ED" w:rsidR="00CB5EF1" w:rsidRPr="00CB5EF1" w:rsidRDefault="00CB5EF1">
      <w:pPr>
        <w:pStyle w:val="FootnoteText"/>
        <w:rPr>
          <w:lang w:val="en-US"/>
        </w:rPr>
      </w:pPr>
      <w:r>
        <w:rPr>
          <w:rStyle w:val="FootnoteReference"/>
        </w:rPr>
        <w:footnoteRef/>
      </w:r>
      <w:r>
        <w:t xml:space="preserve"> </w:t>
      </w:r>
      <w:hyperlink r:id="rId8" w:history="1">
        <w:r w:rsidR="003B2ADE">
          <w:rPr>
            <w:rStyle w:val="Hyperlink"/>
          </w:rPr>
          <w:t>Sunny Side Up: Strengthening the consumer protection regime for solar panels in Victoria - Consumer Action Law Centre</w:t>
        </w:r>
      </w:hyperlink>
      <w:r w:rsidR="003B2ADE">
        <w:t xml:space="preserve"> </w:t>
      </w:r>
      <w:r w:rsidR="00363B29">
        <w:t>April 2019, Consumer Action Law 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1D784" w14:textId="77777777" w:rsidR="00123F63" w:rsidRDefault="00123F63">
    <w:pPr>
      <w:pStyle w:val="Header"/>
    </w:pPr>
    <w:r>
      <w:rPr>
        <w:noProof/>
      </w:rPr>
      <w:drawing>
        <wp:anchor distT="0" distB="0" distL="114300" distR="114300" simplePos="0" relativeHeight="251658243" behindDoc="1" locked="0" layoutInCell="1" allowOverlap="1" wp14:anchorId="37771FD5" wp14:editId="700D079E">
          <wp:simplePos x="0" y="0"/>
          <wp:positionH relativeFrom="column">
            <wp:posOffset>1476375</wp:posOffset>
          </wp:positionH>
          <wp:positionV relativeFrom="paragraph">
            <wp:posOffset>2315210</wp:posOffset>
          </wp:positionV>
          <wp:extent cx="5539798" cy="7200000"/>
          <wp:effectExtent l="0" t="0" r="3810" b="127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C_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5539798" cy="720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30E6F" w14:textId="77777777" w:rsidR="00A13FD0" w:rsidRDefault="00643D86">
    <w:pPr>
      <w:pStyle w:val="Header"/>
    </w:pPr>
    <w:r>
      <w:rPr>
        <w:noProof/>
      </w:rPr>
      <w:drawing>
        <wp:anchor distT="0" distB="0" distL="114300" distR="114300" simplePos="0" relativeHeight="251658242" behindDoc="1" locked="0" layoutInCell="1" allowOverlap="1" wp14:anchorId="00A562D1" wp14:editId="63CCA53E">
          <wp:simplePos x="0" y="0"/>
          <wp:positionH relativeFrom="column">
            <wp:posOffset>1483360</wp:posOffset>
          </wp:positionH>
          <wp:positionV relativeFrom="paragraph">
            <wp:posOffset>2302510</wp:posOffset>
          </wp:positionV>
          <wp:extent cx="5539798" cy="7200000"/>
          <wp:effectExtent l="0" t="0" r="3810" b="127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C_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5539798" cy="7200000"/>
                  </a:xfrm>
                  <a:prstGeom prst="rect">
                    <a:avLst/>
                  </a:prstGeom>
                </pic:spPr>
              </pic:pic>
            </a:graphicData>
          </a:graphic>
          <wp14:sizeRelH relativeFrom="page">
            <wp14:pctWidth>0</wp14:pctWidth>
          </wp14:sizeRelH>
          <wp14:sizeRelV relativeFrom="page">
            <wp14:pctHeight>0</wp14:pctHeight>
          </wp14:sizeRelV>
        </wp:anchor>
      </w:drawing>
    </w:r>
    <w:r w:rsidR="00A13FD0">
      <w:rPr>
        <w:noProof/>
      </w:rPr>
      <w:drawing>
        <wp:anchor distT="0" distB="0" distL="114300" distR="114300" simplePos="0" relativeHeight="251658240" behindDoc="1" locked="0" layoutInCell="1" allowOverlap="1" wp14:anchorId="3CEC3A01" wp14:editId="4D7A0EAE">
          <wp:simplePos x="0" y="0"/>
          <wp:positionH relativeFrom="column">
            <wp:posOffset>0</wp:posOffset>
          </wp:positionH>
          <wp:positionV relativeFrom="paragraph">
            <wp:posOffset>-519250</wp:posOffset>
          </wp:positionV>
          <wp:extent cx="6479540" cy="188849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LC_Template_Header_Logo&amp;Contact.png"/>
                  <pic:cNvPicPr/>
                </pic:nvPicPr>
                <pic:blipFill>
                  <a:blip r:embed="rId2">
                    <a:extLst>
                      <a:ext uri="{28A0092B-C50C-407E-A947-70E740481C1C}">
                        <a14:useLocalDpi xmlns:a14="http://schemas.microsoft.com/office/drawing/2010/main" val="0"/>
                      </a:ext>
                    </a:extLst>
                  </a:blip>
                  <a:stretch>
                    <a:fillRect/>
                  </a:stretch>
                </pic:blipFill>
                <pic:spPr>
                  <a:xfrm>
                    <a:off x="0" y="0"/>
                    <a:ext cx="6479540" cy="1888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F2116"/>
    <w:multiLevelType w:val="multilevel"/>
    <w:tmpl w:val="7848F380"/>
    <w:lvl w:ilvl="0">
      <w:start w:val="1"/>
      <w:numFmt w:val="decimal"/>
      <w:lvlText w:val="%1."/>
      <w:lvlJc w:val="left"/>
      <w:pPr>
        <w:ind w:left="567" w:hanging="567"/>
      </w:pPr>
      <w:rPr>
        <w:rFonts w:hint="default"/>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07754083"/>
    <w:multiLevelType w:val="multilevel"/>
    <w:tmpl w:val="6EB81702"/>
    <w:numStyleLink w:val="Style3"/>
  </w:abstractNum>
  <w:abstractNum w:abstractNumId="2" w15:restartNumberingAfterBreak="0">
    <w:nsid w:val="0EED4D2D"/>
    <w:multiLevelType w:val="multilevel"/>
    <w:tmpl w:val="8A7C40F8"/>
    <w:lvl w:ilvl="0">
      <w:start w:val="1"/>
      <w:numFmt w:val="decimal"/>
      <w:lvlText w:val="RECOMMENDATION %1."/>
      <w:lvlJc w:val="left"/>
      <w:pPr>
        <w:tabs>
          <w:tab w:val="num" w:pos="709"/>
        </w:tabs>
        <w:ind w:left="709" w:firstLine="0"/>
      </w:pPr>
      <w:rPr>
        <w:rFonts w:hint="default"/>
        <w:b/>
        <w:i w:val="0"/>
      </w:rPr>
    </w:lvl>
    <w:lvl w:ilvl="1">
      <w:start w:val="1"/>
      <w:numFmt w:val="bullet"/>
      <w:lvlText w:val=""/>
      <w:lvlJc w:val="left"/>
      <w:pPr>
        <w:ind w:left="1134" w:hanging="425"/>
      </w:pPr>
      <w:rPr>
        <w:rFonts w:ascii="Symbol" w:hAnsi="Symbol" w:hint="default"/>
        <w:color w:val="auto"/>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3" w15:restartNumberingAfterBreak="0">
    <w:nsid w:val="1A51592A"/>
    <w:multiLevelType w:val="multilevel"/>
    <w:tmpl w:val="DCF2CBD4"/>
    <w:numStyleLink w:val="Style1"/>
  </w:abstractNum>
  <w:abstractNum w:abstractNumId="4" w15:restartNumberingAfterBreak="0">
    <w:nsid w:val="1E887231"/>
    <w:multiLevelType w:val="multilevel"/>
    <w:tmpl w:val="6EB81702"/>
    <w:styleLink w:val="Style3"/>
    <w:lvl w:ilvl="0">
      <w:start w:val="1"/>
      <w:numFmt w:val="decimal"/>
      <w:pStyle w:val="ListParagraph"/>
      <w:lvlText w:val="%1."/>
      <w:lvlJc w:val="left"/>
      <w:pPr>
        <w:ind w:left="567" w:hanging="567"/>
      </w:pPr>
      <w:rPr>
        <w:rFonts w:hint="default"/>
      </w:rPr>
    </w:lvl>
    <w:lvl w:ilvl="1">
      <w:start w:val="1"/>
      <w:numFmt w:val="bullet"/>
      <w:lvlRestart w:val="0"/>
      <w:pStyle w:val="BulletPoints"/>
      <w:lvlText w:val=""/>
      <w:lvlJc w:val="left"/>
      <w:pPr>
        <w:ind w:left="992" w:hanging="425"/>
      </w:pPr>
      <w:rPr>
        <w:rFonts w:ascii="Symbol" w:hAnsi="Symbol" w:hint="default"/>
        <w:color w:val="auto"/>
      </w:rPr>
    </w:lvl>
    <w:lvl w:ilvl="2">
      <w:start w:val="1"/>
      <w:numFmt w:val="bullet"/>
      <w:lvlRestart w:val="0"/>
      <w:lvlText w:val="o"/>
      <w:lvlJc w:val="left"/>
      <w:pPr>
        <w:ind w:left="1418" w:hanging="426"/>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6C1F99"/>
    <w:multiLevelType w:val="multilevel"/>
    <w:tmpl w:val="06CAB0E2"/>
    <w:styleLink w:val="RECOMMENDATION"/>
    <w:lvl w:ilvl="0">
      <w:start w:val="1"/>
      <w:numFmt w:val="decimal"/>
      <w:lvlText w:val="RECOMMENDATION %1."/>
      <w:lvlJc w:val="left"/>
      <w:pPr>
        <w:ind w:left="3119" w:hanging="2410"/>
      </w:pPr>
      <w:rPr>
        <w:rFonts w:hint="default"/>
        <w:b/>
        <w:i w:val="0"/>
      </w:rPr>
    </w:lvl>
    <w:lvl w:ilvl="1">
      <w:start w:val="1"/>
      <w:numFmt w:val="bullet"/>
      <w:lvlRestart w:val="0"/>
      <w:lvlText w:val=""/>
      <w:lvlJc w:val="left"/>
      <w:pPr>
        <w:ind w:left="3544" w:hanging="425"/>
      </w:pPr>
      <w:rPr>
        <w:rFonts w:ascii="Symbol" w:hAnsi="Symbol" w:hint="default"/>
        <w:color w:val="auto"/>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6" w15:restartNumberingAfterBreak="0">
    <w:nsid w:val="203F434D"/>
    <w:multiLevelType w:val="multilevel"/>
    <w:tmpl w:val="62523F3A"/>
    <w:lvl w:ilvl="0">
      <w:start w:val="1"/>
      <w:numFmt w:val="decimal"/>
      <w:lvlText w:val="RECOMMENDATION %1."/>
      <w:lvlJc w:val="left"/>
      <w:pPr>
        <w:ind w:left="709" w:firstLine="0"/>
      </w:pPr>
      <w:rPr>
        <w:rFonts w:hint="default"/>
        <w:b/>
        <w:i w:val="0"/>
      </w:rPr>
    </w:lvl>
    <w:lvl w:ilvl="1">
      <w:start w:val="1"/>
      <w:numFmt w:val="bullet"/>
      <w:lvlRestart w:val="0"/>
      <w:lvlText w:val=""/>
      <w:lvlJc w:val="left"/>
      <w:pPr>
        <w:ind w:left="2126" w:hanging="425"/>
      </w:pPr>
      <w:rPr>
        <w:rFonts w:ascii="Symbol" w:hAnsi="Symbol" w:hint="default"/>
        <w:color w:val="auto"/>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7" w15:restartNumberingAfterBreak="0">
    <w:nsid w:val="23826EF8"/>
    <w:multiLevelType w:val="multilevel"/>
    <w:tmpl w:val="DCF2CBD4"/>
    <w:numStyleLink w:val="Style1"/>
  </w:abstractNum>
  <w:abstractNum w:abstractNumId="8" w15:restartNumberingAfterBreak="0">
    <w:nsid w:val="25C53072"/>
    <w:multiLevelType w:val="hybridMultilevel"/>
    <w:tmpl w:val="3DF66B14"/>
    <w:lvl w:ilvl="0" w:tplc="25F23E30">
      <w:start w:val="1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1645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CB7102"/>
    <w:multiLevelType w:val="multilevel"/>
    <w:tmpl w:val="5C324EC4"/>
    <w:lvl w:ilvl="0">
      <w:start w:val="1"/>
      <w:numFmt w:val="decimal"/>
      <w:lvlText w:val="RECOMMENDATION %1."/>
      <w:lvlJc w:val="left"/>
      <w:pPr>
        <w:ind w:left="3119" w:hanging="2410"/>
      </w:pPr>
      <w:rPr>
        <w:rFonts w:hint="default"/>
        <w:b/>
        <w:i w:val="0"/>
      </w:rPr>
    </w:lvl>
    <w:lvl w:ilvl="1">
      <w:start w:val="1"/>
      <w:numFmt w:val="bullet"/>
      <w:lvlRestart w:val="0"/>
      <w:lvlText w:val=""/>
      <w:lvlJc w:val="left"/>
      <w:pPr>
        <w:ind w:left="3544" w:hanging="425"/>
      </w:pPr>
      <w:rPr>
        <w:rFonts w:ascii="Symbol" w:hAnsi="Symbol" w:hint="default"/>
        <w:color w:val="auto"/>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11" w15:restartNumberingAfterBreak="0">
    <w:nsid w:val="2E2E477F"/>
    <w:multiLevelType w:val="multilevel"/>
    <w:tmpl w:val="DCF2CBD4"/>
    <w:styleLink w:val="Style1"/>
    <w:lvl w:ilvl="0">
      <w:start w:val="1"/>
      <w:numFmt w:val="decimal"/>
      <w:lvlText w:val="RECOMMENDATION %1."/>
      <w:lvlJc w:val="left"/>
      <w:pPr>
        <w:ind w:left="2410" w:hanging="2410"/>
      </w:pPr>
      <w:rPr>
        <w:rFonts w:hint="default"/>
        <w:b/>
        <w:i w:val="0"/>
      </w:rPr>
    </w:lvl>
    <w:lvl w:ilvl="1">
      <w:start w:val="1"/>
      <w:numFmt w:val="bullet"/>
      <w:lvlText w:val=""/>
      <w:lvlJc w:val="left"/>
      <w:pPr>
        <w:ind w:left="2835" w:hanging="425"/>
      </w:pPr>
      <w:rPr>
        <w:rFonts w:ascii="Symbol" w:hAnsi="Symbol" w:hint="default"/>
        <w:color w:val="auto"/>
      </w:rPr>
    </w:lvl>
    <w:lvl w:ilvl="2">
      <w:start w:val="1"/>
      <w:numFmt w:val="lowerRoman"/>
      <w:lvlText w:val="%3."/>
      <w:lvlJc w:val="right"/>
      <w:pPr>
        <w:ind w:left="2673" w:hanging="180"/>
      </w:pPr>
      <w:rPr>
        <w:rFonts w:hint="default"/>
      </w:rPr>
    </w:lvl>
    <w:lvl w:ilvl="3">
      <w:start w:val="1"/>
      <w:numFmt w:val="decimal"/>
      <w:lvlText w:val="%4."/>
      <w:lvlJc w:val="left"/>
      <w:pPr>
        <w:ind w:left="3393" w:hanging="360"/>
      </w:pPr>
      <w:rPr>
        <w:rFonts w:hint="default"/>
      </w:rPr>
    </w:lvl>
    <w:lvl w:ilvl="4">
      <w:start w:val="1"/>
      <w:numFmt w:val="lowerLetter"/>
      <w:lvlText w:val="%5."/>
      <w:lvlJc w:val="left"/>
      <w:pPr>
        <w:ind w:left="4113" w:hanging="360"/>
      </w:pPr>
      <w:rPr>
        <w:rFonts w:hint="default"/>
      </w:rPr>
    </w:lvl>
    <w:lvl w:ilvl="5">
      <w:start w:val="1"/>
      <w:numFmt w:val="lowerRoman"/>
      <w:lvlText w:val="%6."/>
      <w:lvlJc w:val="right"/>
      <w:pPr>
        <w:ind w:left="4833" w:hanging="180"/>
      </w:pPr>
      <w:rPr>
        <w:rFonts w:hint="default"/>
      </w:rPr>
    </w:lvl>
    <w:lvl w:ilvl="6">
      <w:start w:val="1"/>
      <w:numFmt w:val="decimal"/>
      <w:lvlText w:val="%7."/>
      <w:lvlJc w:val="left"/>
      <w:pPr>
        <w:ind w:left="5553" w:hanging="360"/>
      </w:pPr>
      <w:rPr>
        <w:rFonts w:hint="default"/>
      </w:rPr>
    </w:lvl>
    <w:lvl w:ilvl="7">
      <w:start w:val="1"/>
      <w:numFmt w:val="lowerLetter"/>
      <w:lvlText w:val="%8."/>
      <w:lvlJc w:val="left"/>
      <w:pPr>
        <w:ind w:left="6273" w:hanging="360"/>
      </w:pPr>
      <w:rPr>
        <w:rFonts w:hint="default"/>
      </w:rPr>
    </w:lvl>
    <w:lvl w:ilvl="8">
      <w:start w:val="1"/>
      <w:numFmt w:val="lowerRoman"/>
      <w:lvlText w:val="%9."/>
      <w:lvlJc w:val="right"/>
      <w:pPr>
        <w:ind w:left="6993" w:hanging="180"/>
      </w:pPr>
      <w:rPr>
        <w:rFonts w:hint="default"/>
      </w:rPr>
    </w:lvl>
  </w:abstractNum>
  <w:abstractNum w:abstractNumId="12" w15:restartNumberingAfterBreak="0">
    <w:nsid w:val="338A6FBD"/>
    <w:multiLevelType w:val="multilevel"/>
    <w:tmpl w:val="9486632E"/>
    <w:styleLink w:val="Style2"/>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color w:val="auto"/>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34F26835"/>
    <w:multiLevelType w:val="multilevel"/>
    <w:tmpl w:val="06CAB0E2"/>
    <w:numStyleLink w:val="RECOMMENDATION"/>
  </w:abstractNum>
  <w:abstractNum w:abstractNumId="14" w15:restartNumberingAfterBreak="0">
    <w:nsid w:val="39790B25"/>
    <w:multiLevelType w:val="multilevel"/>
    <w:tmpl w:val="A03E0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F40FA"/>
    <w:multiLevelType w:val="multilevel"/>
    <w:tmpl w:val="9486632E"/>
    <w:numStyleLink w:val="Style2"/>
  </w:abstractNum>
  <w:abstractNum w:abstractNumId="16" w15:restartNumberingAfterBreak="0">
    <w:nsid w:val="3DEA72F2"/>
    <w:multiLevelType w:val="multilevel"/>
    <w:tmpl w:val="981ABB04"/>
    <w:lvl w:ilvl="0">
      <w:start w:val="1"/>
      <w:numFmt w:val="decimal"/>
      <w:pStyle w:val="RECOMMENDATIONS"/>
      <w:suff w:val="space"/>
      <w:lvlText w:val="RECOMMENDATION %1."/>
      <w:lvlJc w:val="left"/>
      <w:pPr>
        <w:ind w:left="1276" w:hanging="1276"/>
      </w:pPr>
      <w:rPr>
        <w:rFonts w:hint="default"/>
        <w:b/>
        <w:i w:val="0"/>
      </w:rPr>
    </w:lvl>
    <w:lvl w:ilvl="1">
      <w:start w:val="1"/>
      <w:numFmt w:val="bullet"/>
      <w:lvlRestart w:val="0"/>
      <w:lvlText w:val=""/>
      <w:lvlJc w:val="left"/>
      <w:pPr>
        <w:ind w:left="1559" w:hanging="283"/>
      </w:pPr>
      <w:rPr>
        <w:rFonts w:ascii="Symbol" w:hAnsi="Symbol" w:hint="default"/>
        <w:color w:val="auto"/>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17" w15:restartNumberingAfterBreak="0">
    <w:nsid w:val="4484519C"/>
    <w:multiLevelType w:val="multilevel"/>
    <w:tmpl w:val="84C054A6"/>
    <w:lvl w:ilvl="0">
      <w:start w:val="1"/>
      <w:numFmt w:val="decimal"/>
      <w:lvlText w:val="RECOMMENDATION %1."/>
      <w:lvlJc w:val="left"/>
      <w:pPr>
        <w:ind w:left="709" w:firstLine="0"/>
      </w:pPr>
      <w:rPr>
        <w:rFonts w:hint="default"/>
        <w:b/>
        <w:i w:val="0"/>
      </w:rPr>
    </w:lvl>
    <w:lvl w:ilvl="1">
      <w:start w:val="1"/>
      <w:numFmt w:val="bullet"/>
      <w:lvlRestart w:val="0"/>
      <w:lvlText w:val=""/>
      <w:lvlJc w:val="left"/>
      <w:pPr>
        <w:ind w:left="2126" w:hanging="425"/>
      </w:pPr>
      <w:rPr>
        <w:rFonts w:ascii="Symbol" w:hAnsi="Symbol" w:hint="default"/>
        <w:color w:val="auto"/>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18" w15:restartNumberingAfterBreak="0">
    <w:nsid w:val="4A9B52D6"/>
    <w:multiLevelType w:val="hybridMultilevel"/>
    <w:tmpl w:val="34A27C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B835B9"/>
    <w:multiLevelType w:val="hybridMultilevel"/>
    <w:tmpl w:val="8C6A3980"/>
    <w:lvl w:ilvl="0" w:tplc="683663CC">
      <w:start w:val="1"/>
      <w:numFmt w:val="decimal"/>
      <w:pStyle w:val="Question"/>
      <w:lvlText w:val="Question %1."/>
      <w:lvlJc w:val="left"/>
      <w:pPr>
        <w:ind w:left="1287"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3C695E"/>
    <w:multiLevelType w:val="hybridMultilevel"/>
    <w:tmpl w:val="03BC7B1C"/>
    <w:lvl w:ilvl="0" w:tplc="4DE84AE6">
      <w:start w:val="1"/>
      <w:numFmt w:val="decimal"/>
      <w:lvlText w:val="Question %1."/>
      <w:lvlJc w:val="left"/>
      <w:pPr>
        <w:ind w:left="1287" w:hanging="360"/>
      </w:pPr>
      <w:rPr>
        <w:rFonts w:hint="default"/>
        <w:b/>
        <w:i/>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59F54F2B"/>
    <w:multiLevelType w:val="hybridMultilevel"/>
    <w:tmpl w:val="9C306894"/>
    <w:lvl w:ilvl="0" w:tplc="6BE8101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31B8F"/>
    <w:multiLevelType w:val="multilevel"/>
    <w:tmpl w:val="06CAB0E2"/>
    <w:numStyleLink w:val="RECOMMENDATION"/>
  </w:abstractNum>
  <w:abstractNum w:abstractNumId="23" w15:restartNumberingAfterBreak="0">
    <w:nsid w:val="64B12EA9"/>
    <w:multiLevelType w:val="multilevel"/>
    <w:tmpl w:val="06CAB0E2"/>
    <w:numStyleLink w:val="RECOMMENDATION"/>
  </w:abstractNum>
  <w:abstractNum w:abstractNumId="24" w15:restartNumberingAfterBreak="0">
    <w:nsid w:val="70AF46EE"/>
    <w:multiLevelType w:val="hybridMultilevel"/>
    <w:tmpl w:val="792AD5A6"/>
    <w:lvl w:ilvl="0" w:tplc="2AEE3D6A">
      <w:start w:val="1"/>
      <w:numFmt w:val="bullet"/>
      <w:lvlText w:val="-"/>
      <w:lvlJc w:val="left"/>
      <w:pPr>
        <w:ind w:left="720" w:hanging="360"/>
      </w:pPr>
      <w:rPr>
        <w:rFonts w:ascii="Aptos" w:eastAsiaTheme="minorHAnsi" w:hAnsi="Apto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C467B1"/>
    <w:multiLevelType w:val="hybridMultilevel"/>
    <w:tmpl w:val="29D06352"/>
    <w:lvl w:ilvl="0" w:tplc="B51A2DAC">
      <w:start w:val="1"/>
      <w:numFmt w:val="decimal"/>
      <w:lvlText w:val="RECOMMENDATION %1."/>
      <w:lvlJc w:val="left"/>
      <w:pPr>
        <w:ind w:left="927"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1B5BD7"/>
    <w:multiLevelType w:val="hybridMultilevel"/>
    <w:tmpl w:val="3FE21058"/>
    <w:lvl w:ilvl="0" w:tplc="2E666D02">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8B5839"/>
    <w:multiLevelType w:val="hybridMultilevel"/>
    <w:tmpl w:val="8DEAB526"/>
    <w:lvl w:ilvl="0" w:tplc="F4A4D74E">
      <w:start w:val="1"/>
      <w:numFmt w:val="decimal"/>
      <w:lvlText w:val="%1."/>
      <w:lvlJc w:val="left"/>
      <w:pPr>
        <w:ind w:left="720" w:hanging="360"/>
      </w:pPr>
      <w:rPr>
        <w:rFonts w:ascii="Corbel" w:eastAsiaTheme="majorEastAsia" w:hAnsi="Corbel" w:cstheme="majorBidi"/>
      </w:rPr>
    </w:lvl>
    <w:lvl w:ilvl="1" w:tplc="0C09000F">
      <w:start w:val="1"/>
      <w:numFmt w:val="decimal"/>
      <w:lvlText w:val="%2."/>
      <w:lvlJc w:val="left"/>
      <w:pPr>
        <w:ind w:left="1440" w:hanging="360"/>
      </w:pPr>
    </w:lvl>
    <w:lvl w:ilvl="2" w:tplc="7E2CE33C">
      <w:start w:val="1"/>
      <w:numFmt w:val="lowerRoman"/>
      <w:lvlText w:val="%3."/>
      <w:lvlJc w:val="right"/>
      <w:pPr>
        <w:ind w:left="2160" w:hanging="180"/>
      </w:pPr>
      <w:rPr>
        <w:b w:val="0"/>
        <w:b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E24561"/>
    <w:multiLevelType w:val="multilevel"/>
    <w:tmpl w:val="06CAB0E2"/>
    <w:numStyleLink w:val="RECOMMENDATION"/>
  </w:abstractNum>
  <w:num w:numId="1" w16cid:durableId="401830474">
    <w:abstractNumId w:val="21"/>
  </w:num>
  <w:num w:numId="2" w16cid:durableId="1972321380">
    <w:abstractNumId w:val="26"/>
  </w:num>
  <w:num w:numId="3" w16cid:durableId="1206063898">
    <w:abstractNumId w:val="20"/>
  </w:num>
  <w:num w:numId="4" w16cid:durableId="224225512">
    <w:abstractNumId w:val="25"/>
  </w:num>
  <w:num w:numId="5" w16cid:durableId="910772504">
    <w:abstractNumId w:val="11"/>
  </w:num>
  <w:num w:numId="6" w16cid:durableId="1861893891">
    <w:abstractNumId w:val="7"/>
  </w:num>
  <w:num w:numId="7" w16cid:durableId="1563711548">
    <w:abstractNumId w:val="5"/>
  </w:num>
  <w:num w:numId="8" w16cid:durableId="199249848">
    <w:abstractNumId w:val="22"/>
  </w:num>
  <w:num w:numId="9" w16cid:durableId="1846166272">
    <w:abstractNumId w:val="12"/>
  </w:num>
  <w:num w:numId="10" w16cid:durableId="399404080">
    <w:abstractNumId w:val="15"/>
  </w:num>
  <w:num w:numId="11" w16cid:durableId="366181328">
    <w:abstractNumId w:val="14"/>
  </w:num>
  <w:num w:numId="12" w16cid:durableId="388959145">
    <w:abstractNumId w:val="0"/>
  </w:num>
  <w:num w:numId="13" w16cid:durableId="638269075">
    <w:abstractNumId w:val="8"/>
  </w:num>
  <w:num w:numId="14" w16cid:durableId="1641304966">
    <w:abstractNumId w:val="4"/>
  </w:num>
  <w:num w:numId="15" w16cid:durableId="648245156">
    <w:abstractNumId w:val="1"/>
  </w:num>
  <w:num w:numId="16" w16cid:durableId="916210889">
    <w:abstractNumId w:val="1"/>
    <w:lvlOverride w:ilvl="0">
      <w:lvl w:ilvl="0">
        <w:start w:val="1"/>
        <w:numFmt w:val="decimal"/>
        <w:pStyle w:val="ListParagraph"/>
        <w:lvlText w:val="%1."/>
        <w:lvlJc w:val="left"/>
        <w:pPr>
          <w:ind w:left="720" w:hanging="720"/>
        </w:pPr>
        <w:rPr>
          <w:rFonts w:hint="default"/>
        </w:rPr>
      </w:lvl>
    </w:lvlOverride>
    <w:lvlOverride w:ilvl="1">
      <w:lvl w:ilvl="1">
        <w:start w:val="1"/>
        <w:numFmt w:val="bullet"/>
        <w:pStyle w:val="BulletPoints"/>
        <w:lvlText w:val=""/>
        <w:lvlJc w:val="left"/>
        <w:pPr>
          <w:ind w:left="1276" w:hanging="567"/>
        </w:pPr>
        <w:rPr>
          <w:rFonts w:ascii="Symbol" w:hAnsi="Symbol" w:hint="default"/>
          <w:color w:val="auto"/>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16cid:durableId="305277321">
    <w:abstractNumId w:val="9"/>
  </w:num>
  <w:num w:numId="18" w16cid:durableId="1805654776">
    <w:abstractNumId w:val="2"/>
  </w:num>
  <w:num w:numId="19" w16cid:durableId="855462157">
    <w:abstractNumId w:val="23"/>
  </w:num>
  <w:num w:numId="20" w16cid:durableId="798298462">
    <w:abstractNumId w:val="17"/>
  </w:num>
  <w:num w:numId="21" w16cid:durableId="464203846">
    <w:abstractNumId w:val="6"/>
  </w:num>
  <w:num w:numId="22" w16cid:durableId="1892617202">
    <w:abstractNumId w:val="13"/>
  </w:num>
  <w:num w:numId="23" w16cid:durableId="651718818">
    <w:abstractNumId w:val="28"/>
  </w:num>
  <w:num w:numId="24" w16cid:durableId="2057896953">
    <w:abstractNumId w:val="16"/>
  </w:num>
  <w:num w:numId="25" w16cid:durableId="1549142613">
    <w:abstractNumId w:val="3"/>
  </w:num>
  <w:num w:numId="26" w16cid:durableId="1329752204">
    <w:abstractNumId w:val="10"/>
  </w:num>
  <w:num w:numId="27" w16cid:durableId="545265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1691305">
    <w:abstractNumId w:val="19"/>
  </w:num>
  <w:num w:numId="29" w16cid:durableId="1627469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4215880">
    <w:abstractNumId w:val="27"/>
  </w:num>
  <w:num w:numId="31" w16cid:durableId="930627299">
    <w:abstractNumId w:val="18"/>
  </w:num>
  <w:num w:numId="32" w16cid:durableId="4938805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75"/>
    <w:rsid w:val="000100E7"/>
    <w:rsid w:val="00013789"/>
    <w:rsid w:val="0002062B"/>
    <w:rsid w:val="00024DE6"/>
    <w:rsid w:val="00027C62"/>
    <w:rsid w:val="0003190F"/>
    <w:rsid w:val="00032830"/>
    <w:rsid w:val="000405A7"/>
    <w:rsid w:val="0004084E"/>
    <w:rsid w:val="00040A75"/>
    <w:rsid w:val="00042573"/>
    <w:rsid w:val="00043563"/>
    <w:rsid w:val="00044C3C"/>
    <w:rsid w:val="000476B5"/>
    <w:rsid w:val="0005309B"/>
    <w:rsid w:val="0005484B"/>
    <w:rsid w:val="000550BF"/>
    <w:rsid w:val="00064954"/>
    <w:rsid w:val="00064D90"/>
    <w:rsid w:val="00072E19"/>
    <w:rsid w:val="00073884"/>
    <w:rsid w:val="0007701A"/>
    <w:rsid w:val="00081DC8"/>
    <w:rsid w:val="00085AC4"/>
    <w:rsid w:val="00085F90"/>
    <w:rsid w:val="00095359"/>
    <w:rsid w:val="000953E6"/>
    <w:rsid w:val="000A191D"/>
    <w:rsid w:val="000A197F"/>
    <w:rsid w:val="000B0504"/>
    <w:rsid w:val="000B0EC0"/>
    <w:rsid w:val="000B1BAC"/>
    <w:rsid w:val="000B284E"/>
    <w:rsid w:val="000B6265"/>
    <w:rsid w:val="000C1901"/>
    <w:rsid w:val="000D2543"/>
    <w:rsid w:val="000D4501"/>
    <w:rsid w:val="000E5BF8"/>
    <w:rsid w:val="000E652C"/>
    <w:rsid w:val="000E71C2"/>
    <w:rsid w:val="000E7A9C"/>
    <w:rsid w:val="000F096E"/>
    <w:rsid w:val="000F443E"/>
    <w:rsid w:val="000F4FF3"/>
    <w:rsid w:val="000F539E"/>
    <w:rsid w:val="000F7F9A"/>
    <w:rsid w:val="001073DE"/>
    <w:rsid w:val="00110BC9"/>
    <w:rsid w:val="001137DA"/>
    <w:rsid w:val="00114257"/>
    <w:rsid w:val="0011463F"/>
    <w:rsid w:val="00120663"/>
    <w:rsid w:val="00123F63"/>
    <w:rsid w:val="00124A2B"/>
    <w:rsid w:val="00125987"/>
    <w:rsid w:val="00125D4A"/>
    <w:rsid w:val="00125DE5"/>
    <w:rsid w:val="00135ADC"/>
    <w:rsid w:val="00137F96"/>
    <w:rsid w:val="00143DFB"/>
    <w:rsid w:val="00145796"/>
    <w:rsid w:val="00146B63"/>
    <w:rsid w:val="0014754D"/>
    <w:rsid w:val="00147ED3"/>
    <w:rsid w:val="001553BA"/>
    <w:rsid w:val="00166E6C"/>
    <w:rsid w:val="00173E68"/>
    <w:rsid w:val="001749D6"/>
    <w:rsid w:val="00176DCE"/>
    <w:rsid w:val="001817BE"/>
    <w:rsid w:val="00191760"/>
    <w:rsid w:val="001938A3"/>
    <w:rsid w:val="0019641E"/>
    <w:rsid w:val="00197A93"/>
    <w:rsid w:val="001A4412"/>
    <w:rsid w:val="001B0FC3"/>
    <w:rsid w:val="001B4752"/>
    <w:rsid w:val="001B4CDB"/>
    <w:rsid w:val="001B55C7"/>
    <w:rsid w:val="001B759E"/>
    <w:rsid w:val="001C6F42"/>
    <w:rsid w:val="001D37A6"/>
    <w:rsid w:val="001D3F34"/>
    <w:rsid w:val="001E1194"/>
    <w:rsid w:val="001E5BF9"/>
    <w:rsid w:val="001E64B4"/>
    <w:rsid w:val="001F47E3"/>
    <w:rsid w:val="00200ACA"/>
    <w:rsid w:val="0020247D"/>
    <w:rsid w:val="00202D41"/>
    <w:rsid w:val="00202E52"/>
    <w:rsid w:val="00217673"/>
    <w:rsid w:val="00220974"/>
    <w:rsid w:val="00225569"/>
    <w:rsid w:val="002258BA"/>
    <w:rsid w:val="00232313"/>
    <w:rsid w:val="002405C0"/>
    <w:rsid w:val="00240E58"/>
    <w:rsid w:val="00242EFD"/>
    <w:rsid w:val="00260AE2"/>
    <w:rsid w:val="00260C49"/>
    <w:rsid w:val="002640EA"/>
    <w:rsid w:val="00267857"/>
    <w:rsid w:val="00270BEF"/>
    <w:rsid w:val="002717E2"/>
    <w:rsid w:val="0027368B"/>
    <w:rsid w:val="0028307E"/>
    <w:rsid w:val="00283817"/>
    <w:rsid w:val="002857CB"/>
    <w:rsid w:val="0029179B"/>
    <w:rsid w:val="00291A97"/>
    <w:rsid w:val="002A0084"/>
    <w:rsid w:val="002A32DF"/>
    <w:rsid w:val="002A6C38"/>
    <w:rsid w:val="002B2957"/>
    <w:rsid w:val="002B3122"/>
    <w:rsid w:val="002B40C3"/>
    <w:rsid w:val="002B723D"/>
    <w:rsid w:val="002C0D21"/>
    <w:rsid w:val="002C62FC"/>
    <w:rsid w:val="002D02A9"/>
    <w:rsid w:val="002D3F3C"/>
    <w:rsid w:val="002D4BF9"/>
    <w:rsid w:val="002D7476"/>
    <w:rsid w:val="002E18B1"/>
    <w:rsid w:val="002E43EF"/>
    <w:rsid w:val="002E50D4"/>
    <w:rsid w:val="002E6E92"/>
    <w:rsid w:val="002F157A"/>
    <w:rsid w:val="002F7117"/>
    <w:rsid w:val="002F7FC1"/>
    <w:rsid w:val="00317918"/>
    <w:rsid w:val="00325196"/>
    <w:rsid w:val="003252AE"/>
    <w:rsid w:val="00325F56"/>
    <w:rsid w:val="00326092"/>
    <w:rsid w:val="00327CAF"/>
    <w:rsid w:val="00336A10"/>
    <w:rsid w:val="00336E7C"/>
    <w:rsid w:val="00340329"/>
    <w:rsid w:val="0034723C"/>
    <w:rsid w:val="00350392"/>
    <w:rsid w:val="00356F39"/>
    <w:rsid w:val="00363B29"/>
    <w:rsid w:val="00363B3B"/>
    <w:rsid w:val="00364F89"/>
    <w:rsid w:val="00370709"/>
    <w:rsid w:val="003731A7"/>
    <w:rsid w:val="00373CA5"/>
    <w:rsid w:val="003811D8"/>
    <w:rsid w:val="00382483"/>
    <w:rsid w:val="00386F5A"/>
    <w:rsid w:val="0038760F"/>
    <w:rsid w:val="00397224"/>
    <w:rsid w:val="003A164B"/>
    <w:rsid w:val="003A17E5"/>
    <w:rsid w:val="003A77D6"/>
    <w:rsid w:val="003B2ADE"/>
    <w:rsid w:val="003B3ADE"/>
    <w:rsid w:val="003B4C94"/>
    <w:rsid w:val="003B5012"/>
    <w:rsid w:val="003C293E"/>
    <w:rsid w:val="003D32CB"/>
    <w:rsid w:val="003F07CA"/>
    <w:rsid w:val="003F1830"/>
    <w:rsid w:val="003F64DD"/>
    <w:rsid w:val="00402978"/>
    <w:rsid w:val="00403A53"/>
    <w:rsid w:val="00406F75"/>
    <w:rsid w:val="0041102B"/>
    <w:rsid w:val="00412BC5"/>
    <w:rsid w:val="00414263"/>
    <w:rsid w:val="00416607"/>
    <w:rsid w:val="00423813"/>
    <w:rsid w:val="00424423"/>
    <w:rsid w:val="0043057F"/>
    <w:rsid w:val="004337A0"/>
    <w:rsid w:val="00433DFA"/>
    <w:rsid w:val="004356DD"/>
    <w:rsid w:val="00441A26"/>
    <w:rsid w:val="00443C3C"/>
    <w:rsid w:val="00443FFC"/>
    <w:rsid w:val="00447D4E"/>
    <w:rsid w:val="00454C03"/>
    <w:rsid w:val="004611E9"/>
    <w:rsid w:val="00472F29"/>
    <w:rsid w:val="00485FBB"/>
    <w:rsid w:val="00486ECF"/>
    <w:rsid w:val="0049051D"/>
    <w:rsid w:val="00491D3E"/>
    <w:rsid w:val="004935A5"/>
    <w:rsid w:val="004A3627"/>
    <w:rsid w:val="004B2E60"/>
    <w:rsid w:val="004B75B9"/>
    <w:rsid w:val="004C6BD6"/>
    <w:rsid w:val="004D4DB2"/>
    <w:rsid w:val="004E3410"/>
    <w:rsid w:val="004E423C"/>
    <w:rsid w:val="004F6775"/>
    <w:rsid w:val="004F6C6A"/>
    <w:rsid w:val="005004EA"/>
    <w:rsid w:val="00510120"/>
    <w:rsid w:val="0051358C"/>
    <w:rsid w:val="00513C4B"/>
    <w:rsid w:val="00517DAD"/>
    <w:rsid w:val="005253B1"/>
    <w:rsid w:val="00525A59"/>
    <w:rsid w:val="0053043A"/>
    <w:rsid w:val="0053101A"/>
    <w:rsid w:val="00533B5A"/>
    <w:rsid w:val="0053578D"/>
    <w:rsid w:val="005367ED"/>
    <w:rsid w:val="0054230F"/>
    <w:rsid w:val="00544177"/>
    <w:rsid w:val="00546AF1"/>
    <w:rsid w:val="00547F17"/>
    <w:rsid w:val="00554F21"/>
    <w:rsid w:val="005569AB"/>
    <w:rsid w:val="005572D0"/>
    <w:rsid w:val="00557D8F"/>
    <w:rsid w:val="00562CC3"/>
    <w:rsid w:val="005667E8"/>
    <w:rsid w:val="005823EF"/>
    <w:rsid w:val="005858B2"/>
    <w:rsid w:val="005914DB"/>
    <w:rsid w:val="00592CED"/>
    <w:rsid w:val="00592FF1"/>
    <w:rsid w:val="00597895"/>
    <w:rsid w:val="005B702A"/>
    <w:rsid w:val="005B7210"/>
    <w:rsid w:val="005B7230"/>
    <w:rsid w:val="005C2ED0"/>
    <w:rsid w:val="005C6454"/>
    <w:rsid w:val="005C7782"/>
    <w:rsid w:val="005D1D89"/>
    <w:rsid w:val="005D496C"/>
    <w:rsid w:val="005D4DA8"/>
    <w:rsid w:val="005D646A"/>
    <w:rsid w:val="005D7F5A"/>
    <w:rsid w:val="005E0264"/>
    <w:rsid w:val="005E3830"/>
    <w:rsid w:val="005E4871"/>
    <w:rsid w:val="005E4CA0"/>
    <w:rsid w:val="005F1B8B"/>
    <w:rsid w:val="005F46E9"/>
    <w:rsid w:val="005F5924"/>
    <w:rsid w:val="005F6DE3"/>
    <w:rsid w:val="00603375"/>
    <w:rsid w:val="00605A6A"/>
    <w:rsid w:val="00616573"/>
    <w:rsid w:val="00616D63"/>
    <w:rsid w:val="0062025C"/>
    <w:rsid w:val="00620405"/>
    <w:rsid w:val="00621DCE"/>
    <w:rsid w:val="006222EF"/>
    <w:rsid w:val="00625325"/>
    <w:rsid w:val="00626B51"/>
    <w:rsid w:val="00633558"/>
    <w:rsid w:val="00643D86"/>
    <w:rsid w:val="00653C78"/>
    <w:rsid w:val="0065416C"/>
    <w:rsid w:val="00654D87"/>
    <w:rsid w:val="006554C6"/>
    <w:rsid w:val="0066176A"/>
    <w:rsid w:val="00661E18"/>
    <w:rsid w:val="00661F9B"/>
    <w:rsid w:val="00663D17"/>
    <w:rsid w:val="00664D25"/>
    <w:rsid w:val="00667266"/>
    <w:rsid w:val="006714F7"/>
    <w:rsid w:val="00680D07"/>
    <w:rsid w:val="00681FAA"/>
    <w:rsid w:val="006832A8"/>
    <w:rsid w:val="00684983"/>
    <w:rsid w:val="0069693A"/>
    <w:rsid w:val="00696F96"/>
    <w:rsid w:val="006A2CB9"/>
    <w:rsid w:val="006A58A4"/>
    <w:rsid w:val="006B2350"/>
    <w:rsid w:val="006B551C"/>
    <w:rsid w:val="006B6494"/>
    <w:rsid w:val="006B6FC7"/>
    <w:rsid w:val="006C45CD"/>
    <w:rsid w:val="006C6BF1"/>
    <w:rsid w:val="006D1B85"/>
    <w:rsid w:val="006D26E8"/>
    <w:rsid w:val="006D5466"/>
    <w:rsid w:val="006D5720"/>
    <w:rsid w:val="006E4118"/>
    <w:rsid w:val="006E53EB"/>
    <w:rsid w:val="006E658D"/>
    <w:rsid w:val="006F2841"/>
    <w:rsid w:val="006F6571"/>
    <w:rsid w:val="007065EF"/>
    <w:rsid w:val="00716C6D"/>
    <w:rsid w:val="00724011"/>
    <w:rsid w:val="00745783"/>
    <w:rsid w:val="0074770C"/>
    <w:rsid w:val="007565C3"/>
    <w:rsid w:val="007574CA"/>
    <w:rsid w:val="00757567"/>
    <w:rsid w:val="00760F47"/>
    <w:rsid w:val="007664F4"/>
    <w:rsid w:val="00766B76"/>
    <w:rsid w:val="00770C49"/>
    <w:rsid w:val="00792D8F"/>
    <w:rsid w:val="0079547E"/>
    <w:rsid w:val="007A12EA"/>
    <w:rsid w:val="007B1C2A"/>
    <w:rsid w:val="007C021B"/>
    <w:rsid w:val="007C08A5"/>
    <w:rsid w:val="007C3C7D"/>
    <w:rsid w:val="007C5471"/>
    <w:rsid w:val="007D3183"/>
    <w:rsid w:val="007D3DEB"/>
    <w:rsid w:val="007D3EC5"/>
    <w:rsid w:val="007D5875"/>
    <w:rsid w:val="007D6D90"/>
    <w:rsid w:val="007E26F3"/>
    <w:rsid w:val="007E5A93"/>
    <w:rsid w:val="007E5B66"/>
    <w:rsid w:val="007F486D"/>
    <w:rsid w:val="007F5546"/>
    <w:rsid w:val="00800038"/>
    <w:rsid w:val="00806CF7"/>
    <w:rsid w:val="008115C0"/>
    <w:rsid w:val="00816C19"/>
    <w:rsid w:val="0082076B"/>
    <w:rsid w:val="0082123C"/>
    <w:rsid w:val="008237AC"/>
    <w:rsid w:val="008271FE"/>
    <w:rsid w:val="00827393"/>
    <w:rsid w:val="00831B74"/>
    <w:rsid w:val="00834955"/>
    <w:rsid w:val="00842498"/>
    <w:rsid w:val="00844CA1"/>
    <w:rsid w:val="00846AB1"/>
    <w:rsid w:val="00850922"/>
    <w:rsid w:val="008530EE"/>
    <w:rsid w:val="00853E48"/>
    <w:rsid w:val="00854E25"/>
    <w:rsid w:val="0085662A"/>
    <w:rsid w:val="00860E69"/>
    <w:rsid w:val="00862787"/>
    <w:rsid w:val="00864770"/>
    <w:rsid w:val="00866B28"/>
    <w:rsid w:val="0086775F"/>
    <w:rsid w:val="00874FA5"/>
    <w:rsid w:val="0088135C"/>
    <w:rsid w:val="0088738D"/>
    <w:rsid w:val="0089105C"/>
    <w:rsid w:val="008927E5"/>
    <w:rsid w:val="00895BC5"/>
    <w:rsid w:val="0089709A"/>
    <w:rsid w:val="00897B79"/>
    <w:rsid w:val="008A3553"/>
    <w:rsid w:val="008A3FB2"/>
    <w:rsid w:val="008B021E"/>
    <w:rsid w:val="008B132C"/>
    <w:rsid w:val="008C1A8A"/>
    <w:rsid w:val="008C49FE"/>
    <w:rsid w:val="008C5D6E"/>
    <w:rsid w:val="008C6164"/>
    <w:rsid w:val="008C7AF2"/>
    <w:rsid w:val="008D2309"/>
    <w:rsid w:val="008D406E"/>
    <w:rsid w:val="008D4D05"/>
    <w:rsid w:val="008E39D2"/>
    <w:rsid w:val="008E5514"/>
    <w:rsid w:val="008F1390"/>
    <w:rsid w:val="008F19F4"/>
    <w:rsid w:val="008F2E58"/>
    <w:rsid w:val="008F3345"/>
    <w:rsid w:val="008F3947"/>
    <w:rsid w:val="008F6874"/>
    <w:rsid w:val="00904952"/>
    <w:rsid w:val="00905F22"/>
    <w:rsid w:val="00913D62"/>
    <w:rsid w:val="00920C59"/>
    <w:rsid w:val="00926648"/>
    <w:rsid w:val="0092735A"/>
    <w:rsid w:val="0093065F"/>
    <w:rsid w:val="00930F0A"/>
    <w:rsid w:val="00943B1F"/>
    <w:rsid w:val="00943BF8"/>
    <w:rsid w:val="00946173"/>
    <w:rsid w:val="009479C0"/>
    <w:rsid w:val="0095359D"/>
    <w:rsid w:val="00953B4E"/>
    <w:rsid w:val="00962998"/>
    <w:rsid w:val="0098041D"/>
    <w:rsid w:val="009833FC"/>
    <w:rsid w:val="00986AFB"/>
    <w:rsid w:val="009A2568"/>
    <w:rsid w:val="009A2F9D"/>
    <w:rsid w:val="009B0A68"/>
    <w:rsid w:val="009B32FA"/>
    <w:rsid w:val="009B73C9"/>
    <w:rsid w:val="009B7AEE"/>
    <w:rsid w:val="009D71D0"/>
    <w:rsid w:val="009D7C6F"/>
    <w:rsid w:val="009E0F8A"/>
    <w:rsid w:val="009E3995"/>
    <w:rsid w:val="009F3363"/>
    <w:rsid w:val="009F4FF7"/>
    <w:rsid w:val="009F6708"/>
    <w:rsid w:val="00A003CA"/>
    <w:rsid w:val="00A06549"/>
    <w:rsid w:val="00A1100F"/>
    <w:rsid w:val="00A12032"/>
    <w:rsid w:val="00A13FD0"/>
    <w:rsid w:val="00A17C4C"/>
    <w:rsid w:val="00A2313C"/>
    <w:rsid w:val="00A25347"/>
    <w:rsid w:val="00A2748F"/>
    <w:rsid w:val="00A27C63"/>
    <w:rsid w:val="00A31AFD"/>
    <w:rsid w:val="00A34870"/>
    <w:rsid w:val="00A440F8"/>
    <w:rsid w:val="00A44A89"/>
    <w:rsid w:val="00A44D38"/>
    <w:rsid w:val="00A46E3C"/>
    <w:rsid w:val="00A529D9"/>
    <w:rsid w:val="00A547D8"/>
    <w:rsid w:val="00A571A9"/>
    <w:rsid w:val="00A57775"/>
    <w:rsid w:val="00A60105"/>
    <w:rsid w:val="00A625A5"/>
    <w:rsid w:val="00A637D4"/>
    <w:rsid w:val="00A65EF6"/>
    <w:rsid w:val="00A6608B"/>
    <w:rsid w:val="00A67132"/>
    <w:rsid w:val="00A678F0"/>
    <w:rsid w:val="00A72632"/>
    <w:rsid w:val="00A748DB"/>
    <w:rsid w:val="00A74B4F"/>
    <w:rsid w:val="00A82DCC"/>
    <w:rsid w:val="00A8364E"/>
    <w:rsid w:val="00A91382"/>
    <w:rsid w:val="00A9189C"/>
    <w:rsid w:val="00A91D27"/>
    <w:rsid w:val="00A935FB"/>
    <w:rsid w:val="00A9644E"/>
    <w:rsid w:val="00A972F8"/>
    <w:rsid w:val="00AA27DE"/>
    <w:rsid w:val="00AA36B1"/>
    <w:rsid w:val="00AA6767"/>
    <w:rsid w:val="00AB305E"/>
    <w:rsid w:val="00AB51F1"/>
    <w:rsid w:val="00AB6B4E"/>
    <w:rsid w:val="00AC0237"/>
    <w:rsid w:val="00AC044B"/>
    <w:rsid w:val="00AC19B2"/>
    <w:rsid w:val="00AC2E44"/>
    <w:rsid w:val="00AC5B13"/>
    <w:rsid w:val="00AD061D"/>
    <w:rsid w:val="00AD236B"/>
    <w:rsid w:val="00AE4021"/>
    <w:rsid w:val="00AE76AF"/>
    <w:rsid w:val="00AF25A7"/>
    <w:rsid w:val="00AF45EE"/>
    <w:rsid w:val="00AF7BDC"/>
    <w:rsid w:val="00B00447"/>
    <w:rsid w:val="00B056C9"/>
    <w:rsid w:val="00B05A1B"/>
    <w:rsid w:val="00B11F1A"/>
    <w:rsid w:val="00B20CB8"/>
    <w:rsid w:val="00B213C7"/>
    <w:rsid w:val="00B26A47"/>
    <w:rsid w:val="00B26CAF"/>
    <w:rsid w:val="00B34D67"/>
    <w:rsid w:val="00B35CA0"/>
    <w:rsid w:val="00B35E52"/>
    <w:rsid w:val="00B41577"/>
    <w:rsid w:val="00B41B25"/>
    <w:rsid w:val="00B457A6"/>
    <w:rsid w:val="00B52BA3"/>
    <w:rsid w:val="00B54D1E"/>
    <w:rsid w:val="00B61896"/>
    <w:rsid w:val="00B62DAC"/>
    <w:rsid w:val="00B67260"/>
    <w:rsid w:val="00B7014E"/>
    <w:rsid w:val="00B71A08"/>
    <w:rsid w:val="00B74AFB"/>
    <w:rsid w:val="00B74DCF"/>
    <w:rsid w:val="00B8343A"/>
    <w:rsid w:val="00B84FC5"/>
    <w:rsid w:val="00B8779D"/>
    <w:rsid w:val="00B95063"/>
    <w:rsid w:val="00B975E2"/>
    <w:rsid w:val="00BA0AA5"/>
    <w:rsid w:val="00BA253F"/>
    <w:rsid w:val="00BA2E68"/>
    <w:rsid w:val="00BA777C"/>
    <w:rsid w:val="00BB1543"/>
    <w:rsid w:val="00BB3319"/>
    <w:rsid w:val="00BB33AC"/>
    <w:rsid w:val="00BB3596"/>
    <w:rsid w:val="00BB4001"/>
    <w:rsid w:val="00BB7EA9"/>
    <w:rsid w:val="00BC02AC"/>
    <w:rsid w:val="00BC0CB3"/>
    <w:rsid w:val="00BC21AC"/>
    <w:rsid w:val="00BC30A7"/>
    <w:rsid w:val="00BC7394"/>
    <w:rsid w:val="00BD0066"/>
    <w:rsid w:val="00BD4AF4"/>
    <w:rsid w:val="00BD5CC6"/>
    <w:rsid w:val="00BD6F07"/>
    <w:rsid w:val="00BE3FA3"/>
    <w:rsid w:val="00BF560A"/>
    <w:rsid w:val="00BF5C35"/>
    <w:rsid w:val="00BF7EE4"/>
    <w:rsid w:val="00C06563"/>
    <w:rsid w:val="00C06D6C"/>
    <w:rsid w:val="00C10834"/>
    <w:rsid w:val="00C12478"/>
    <w:rsid w:val="00C12E2C"/>
    <w:rsid w:val="00C201A2"/>
    <w:rsid w:val="00C23992"/>
    <w:rsid w:val="00C3352C"/>
    <w:rsid w:val="00C45BA3"/>
    <w:rsid w:val="00C5168C"/>
    <w:rsid w:val="00C54FC3"/>
    <w:rsid w:val="00C619D1"/>
    <w:rsid w:val="00C64D58"/>
    <w:rsid w:val="00C70767"/>
    <w:rsid w:val="00C8016B"/>
    <w:rsid w:val="00C81F56"/>
    <w:rsid w:val="00C90D4A"/>
    <w:rsid w:val="00C94407"/>
    <w:rsid w:val="00C967B9"/>
    <w:rsid w:val="00C96DD2"/>
    <w:rsid w:val="00C97C07"/>
    <w:rsid w:val="00CA2E97"/>
    <w:rsid w:val="00CB47B9"/>
    <w:rsid w:val="00CB5EF1"/>
    <w:rsid w:val="00CC20EA"/>
    <w:rsid w:val="00CC3876"/>
    <w:rsid w:val="00CC5B3E"/>
    <w:rsid w:val="00CC746F"/>
    <w:rsid w:val="00CE07CC"/>
    <w:rsid w:val="00CE2164"/>
    <w:rsid w:val="00CE31FC"/>
    <w:rsid w:val="00CE410A"/>
    <w:rsid w:val="00CE70CB"/>
    <w:rsid w:val="00CF0A58"/>
    <w:rsid w:val="00CF19F5"/>
    <w:rsid w:val="00CF6C2F"/>
    <w:rsid w:val="00CF7C1B"/>
    <w:rsid w:val="00D01376"/>
    <w:rsid w:val="00D02280"/>
    <w:rsid w:val="00D02549"/>
    <w:rsid w:val="00D066EE"/>
    <w:rsid w:val="00D06B89"/>
    <w:rsid w:val="00D06EC1"/>
    <w:rsid w:val="00D06F73"/>
    <w:rsid w:val="00D148E6"/>
    <w:rsid w:val="00D20502"/>
    <w:rsid w:val="00D2299A"/>
    <w:rsid w:val="00D23A54"/>
    <w:rsid w:val="00D23B5E"/>
    <w:rsid w:val="00D259D3"/>
    <w:rsid w:val="00D26BCE"/>
    <w:rsid w:val="00D26C4E"/>
    <w:rsid w:val="00D26DBF"/>
    <w:rsid w:val="00D35B93"/>
    <w:rsid w:val="00D412D7"/>
    <w:rsid w:val="00D41442"/>
    <w:rsid w:val="00D44DFA"/>
    <w:rsid w:val="00D478CE"/>
    <w:rsid w:val="00D5103C"/>
    <w:rsid w:val="00D52646"/>
    <w:rsid w:val="00D52B7D"/>
    <w:rsid w:val="00D57446"/>
    <w:rsid w:val="00D57992"/>
    <w:rsid w:val="00D70B4C"/>
    <w:rsid w:val="00D72175"/>
    <w:rsid w:val="00D7251E"/>
    <w:rsid w:val="00D72D40"/>
    <w:rsid w:val="00D7569A"/>
    <w:rsid w:val="00D773DD"/>
    <w:rsid w:val="00D775A6"/>
    <w:rsid w:val="00D84983"/>
    <w:rsid w:val="00D933A9"/>
    <w:rsid w:val="00D933F5"/>
    <w:rsid w:val="00D93FED"/>
    <w:rsid w:val="00D97BFF"/>
    <w:rsid w:val="00DA11EC"/>
    <w:rsid w:val="00DA2B18"/>
    <w:rsid w:val="00DA4B4F"/>
    <w:rsid w:val="00DA4C62"/>
    <w:rsid w:val="00DB099D"/>
    <w:rsid w:val="00DB6A2E"/>
    <w:rsid w:val="00DB7DB1"/>
    <w:rsid w:val="00DC60C1"/>
    <w:rsid w:val="00DD1D16"/>
    <w:rsid w:val="00DD53B8"/>
    <w:rsid w:val="00DD585A"/>
    <w:rsid w:val="00DD5B30"/>
    <w:rsid w:val="00DD73D6"/>
    <w:rsid w:val="00DD790D"/>
    <w:rsid w:val="00DE20CA"/>
    <w:rsid w:val="00DE6BF7"/>
    <w:rsid w:val="00DF279E"/>
    <w:rsid w:val="00DF3B3D"/>
    <w:rsid w:val="00DF6945"/>
    <w:rsid w:val="00E02478"/>
    <w:rsid w:val="00E04A05"/>
    <w:rsid w:val="00E0760E"/>
    <w:rsid w:val="00E16D57"/>
    <w:rsid w:val="00E25A70"/>
    <w:rsid w:val="00E30995"/>
    <w:rsid w:val="00E30CC5"/>
    <w:rsid w:val="00E3424C"/>
    <w:rsid w:val="00E35C89"/>
    <w:rsid w:val="00E36B5A"/>
    <w:rsid w:val="00E4492E"/>
    <w:rsid w:val="00E61599"/>
    <w:rsid w:val="00E629A8"/>
    <w:rsid w:val="00E66977"/>
    <w:rsid w:val="00E670A0"/>
    <w:rsid w:val="00E7354B"/>
    <w:rsid w:val="00E941FF"/>
    <w:rsid w:val="00EA65EE"/>
    <w:rsid w:val="00EA689F"/>
    <w:rsid w:val="00EA75F3"/>
    <w:rsid w:val="00EB29FD"/>
    <w:rsid w:val="00EB2B4C"/>
    <w:rsid w:val="00EC0D90"/>
    <w:rsid w:val="00EC0E07"/>
    <w:rsid w:val="00EC662A"/>
    <w:rsid w:val="00EC6FDB"/>
    <w:rsid w:val="00ED54F8"/>
    <w:rsid w:val="00ED61EC"/>
    <w:rsid w:val="00EE142D"/>
    <w:rsid w:val="00EE3764"/>
    <w:rsid w:val="00EE3912"/>
    <w:rsid w:val="00EE42E6"/>
    <w:rsid w:val="00EE647D"/>
    <w:rsid w:val="00EE685C"/>
    <w:rsid w:val="00EF19B7"/>
    <w:rsid w:val="00EF7901"/>
    <w:rsid w:val="00EF7A75"/>
    <w:rsid w:val="00F0107B"/>
    <w:rsid w:val="00F010B8"/>
    <w:rsid w:val="00F01294"/>
    <w:rsid w:val="00F15889"/>
    <w:rsid w:val="00F22ABC"/>
    <w:rsid w:val="00F306BD"/>
    <w:rsid w:val="00F37CDC"/>
    <w:rsid w:val="00F43EAB"/>
    <w:rsid w:val="00F44A1F"/>
    <w:rsid w:val="00F5300F"/>
    <w:rsid w:val="00F55C51"/>
    <w:rsid w:val="00F6000C"/>
    <w:rsid w:val="00F6259C"/>
    <w:rsid w:val="00F64BD9"/>
    <w:rsid w:val="00F7016D"/>
    <w:rsid w:val="00F76A67"/>
    <w:rsid w:val="00F77E73"/>
    <w:rsid w:val="00F812FE"/>
    <w:rsid w:val="00F824EF"/>
    <w:rsid w:val="00F84BE9"/>
    <w:rsid w:val="00F90F1F"/>
    <w:rsid w:val="00F97D78"/>
    <w:rsid w:val="00FA755C"/>
    <w:rsid w:val="00FB0D40"/>
    <w:rsid w:val="00FB4E1B"/>
    <w:rsid w:val="00FC0051"/>
    <w:rsid w:val="00FC4727"/>
    <w:rsid w:val="00FD2A2E"/>
    <w:rsid w:val="00FD4FAB"/>
    <w:rsid w:val="00FE2BA0"/>
    <w:rsid w:val="00FE663D"/>
    <w:rsid w:val="00FE7986"/>
    <w:rsid w:val="00FF1214"/>
    <w:rsid w:val="00FF258E"/>
    <w:rsid w:val="02944B6B"/>
    <w:rsid w:val="044BD6CE"/>
    <w:rsid w:val="051EDCE1"/>
    <w:rsid w:val="06148413"/>
    <w:rsid w:val="06E2D0E9"/>
    <w:rsid w:val="0CDCD87B"/>
    <w:rsid w:val="13A61503"/>
    <w:rsid w:val="15D57CEB"/>
    <w:rsid w:val="1A50D7BD"/>
    <w:rsid w:val="1E3555D0"/>
    <w:rsid w:val="23B282C5"/>
    <w:rsid w:val="27E6887B"/>
    <w:rsid w:val="2B2E8930"/>
    <w:rsid w:val="2DABBC6D"/>
    <w:rsid w:val="2E4D8FBA"/>
    <w:rsid w:val="33C4FFED"/>
    <w:rsid w:val="3AEA9559"/>
    <w:rsid w:val="3CAD5D39"/>
    <w:rsid w:val="417662D6"/>
    <w:rsid w:val="438EED25"/>
    <w:rsid w:val="4A75F1A0"/>
    <w:rsid w:val="4D3F0D0E"/>
    <w:rsid w:val="51318F7D"/>
    <w:rsid w:val="5A750ABF"/>
    <w:rsid w:val="6909BE3A"/>
    <w:rsid w:val="6C5D2A10"/>
    <w:rsid w:val="7A450ADD"/>
    <w:rsid w:val="7FF561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08489"/>
  <w15:chartTrackingRefBased/>
  <w15:docId w15:val="{3E96416B-1309-45EF-9AC0-15B2F67C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rbel" w:eastAsiaTheme="minorEastAsia" w:hAnsi="Corbel" w:cstheme="minorBidi"/>
        <w:color w:val="000000" w:themeColor="text1"/>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498"/>
    <w:pPr>
      <w:spacing w:after="120" w:line="276" w:lineRule="auto"/>
      <w:jc w:val="both"/>
    </w:pPr>
    <w:rPr>
      <w:lang w:val="en-AU"/>
    </w:rPr>
  </w:style>
  <w:style w:type="paragraph" w:styleId="Heading1">
    <w:name w:val="heading 1"/>
    <w:basedOn w:val="Normal"/>
    <w:next w:val="Normal"/>
    <w:link w:val="Heading1Char"/>
    <w:uiPriority w:val="9"/>
    <w:qFormat/>
    <w:rsid w:val="005F5924"/>
    <w:pPr>
      <w:keepNext/>
      <w:keepLines/>
      <w:spacing w:before="120" w:line="240" w:lineRule="auto"/>
      <w:jc w:val="left"/>
      <w:outlineLvl w:val="0"/>
    </w:pPr>
    <w:rPr>
      <w:rFonts w:eastAsiaTheme="majorEastAsia" w:cstheme="majorBidi"/>
      <w:b/>
      <w:color w:val="auto"/>
      <w:sz w:val="32"/>
      <w:szCs w:val="32"/>
    </w:rPr>
  </w:style>
  <w:style w:type="paragraph" w:styleId="Heading2">
    <w:name w:val="heading 2"/>
    <w:basedOn w:val="Normal"/>
    <w:next w:val="Normal"/>
    <w:link w:val="Heading2Char"/>
    <w:uiPriority w:val="9"/>
    <w:qFormat/>
    <w:rsid w:val="00D7569A"/>
    <w:pPr>
      <w:keepNext/>
      <w:keepLines/>
      <w:spacing w:line="240" w:lineRule="auto"/>
      <w:jc w:val="left"/>
      <w:outlineLvl w:val="1"/>
    </w:pPr>
    <w:rPr>
      <w:rFonts w:eastAsiaTheme="majorEastAsia" w:cstheme="majorBidi"/>
      <w:b/>
      <w:color w:val="auto"/>
      <w:sz w:val="24"/>
      <w:szCs w:val="26"/>
    </w:rPr>
  </w:style>
  <w:style w:type="paragraph" w:styleId="Heading3">
    <w:name w:val="heading 3"/>
    <w:basedOn w:val="Normal"/>
    <w:next w:val="Normal"/>
    <w:link w:val="Heading3Char"/>
    <w:uiPriority w:val="9"/>
    <w:qFormat/>
    <w:rsid w:val="00592CED"/>
    <w:pPr>
      <w:keepNext/>
      <w:keepLines/>
      <w:spacing w:line="240" w:lineRule="auto"/>
      <w:jc w:val="left"/>
      <w:outlineLvl w:val="2"/>
    </w:pPr>
    <w:rPr>
      <w:rFonts w:eastAsiaTheme="majorEastAsia" w:cstheme="majorBidi"/>
      <w:color w:val="auto"/>
      <w:szCs w:val="24"/>
      <w:u w:val="single"/>
    </w:rPr>
  </w:style>
  <w:style w:type="paragraph" w:styleId="Heading5">
    <w:name w:val="heading 5"/>
    <w:basedOn w:val="Normal"/>
    <w:next w:val="Normal"/>
    <w:link w:val="Heading5Char"/>
    <w:uiPriority w:val="9"/>
    <w:semiHidden/>
    <w:unhideWhenUsed/>
    <w:qFormat/>
    <w:rsid w:val="004B2E60"/>
    <w:pPr>
      <w:keepNext/>
      <w:keepLines/>
      <w:spacing w:before="40" w:after="0"/>
      <w:outlineLvl w:val="4"/>
    </w:pPr>
    <w:rPr>
      <w:rFonts w:asciiTheme="majorHAnsi" w:eastAsiaTheme="majorEastAsia" w:hAnsiTheme="majorHAnsi" w:cstheme="majorBidi"/>
      <w:color w:val="5F6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569A"/>
    <w:pPr>
      <w:spacing w:after="0" w:line="240" w:lineRule="auto"/>
      <w:jc w:val="both"/>
    </w:pPr>
  </w:style>
  <w:style w:type="paragraph" w:styleId="Title">
    <w:name w:val="Title"/>
    <w:basedOn w:val="Normal"/>
    <w:next w:val="Normal"/>
    <w:link w:val="TitleChar"/>
    <w:uiPriority w:val="7"/>
    <w:qFormat/>
    <w:rsid w:val="002C0D21"/>
    <w:pPr>
      <w:spacing w:line="240" w:lineRule="auto"/>
      <w:contextualSpacing/>
      <w:jc w:val="left"/>
    </w:pPr>
    <w:rPr>
      <w:rFonts w:eastAsiaTheme="majorEastAsia" w:cstheme="majorBidi"/>
      <w:b/>
      <w:color w:val="auto"/>
      <w:kern w:val="28"/>
      <w:sz w:val="32"/>
      <w:szCs w:val="56"/>
    </w:rPr>
  </w:style>
  <w:style w:type="character" w:customStyle="1" w:styleId="TitleChar">
    <w:name w:val="Title Char"/>
    <w:basedOn w:val="DefaultParagraphFont"/>
    <w:link w:val="Title"/>
    <w:uiPriority w:val="7"/>
    <w:rsid w:val="002C0D21"/>
    <w:rPr>
      <w:rFonts w:eastAsiaTheme="majorEastAsia" w:cstheme="majorBidi"/>
      <w:b/>
      <w:color w:val="auto"/>
      <w:kern w:val="28"/>
      <w:sz w:val="32"/>
      <w:szCs w:val="56"/>
    </w:rPr>
  </w:style>
  <w:style w:type="character" w:customStyle="1" w:styleId="Heading1Char">
    <w:name w:val="Heading 1 Char"/>
    <w:basedOn w:val="DefaultParagraphFont"/>
    <w:link w:val="Heading1"/>
    <w:uiPriority w:val="9"/>
    <w:rsid w:val="005F5924"/>
    <w:rPr>
      <w:rFonts w:eastAsiaTheme="majorEastAsia" w:cstheme="majorBidi"/>
      <w:b/>
      <w:color w:val="auto"/>
      <w:sz w:val="32"/>
      <w:szCs w:val="32"/>
    </w:rPr>
  </w:style>
  <w:style w:type="character" w:customStyle="1" w:styleId="Heading2Char">
    <w:name w:val="Heading 2 Char"/>
    <w:basedOn w:val="DefaultParagraphFont"/>
    <w:link w:val="Heading2"/>
    <w:uiPriority w:val="9"/>
    <w:rsid w:val="00D7569A"/>
    <w:rPr>
      <w:rFonts w:eastAsiaTheme="majorEastAsia" w:cstheme="majorBidi"/>
      <w:b/>
      <w:color w:val="auto"/>
      <w:sz w:val="24"/>
      <w:szCs w:val="26"/>
    </w:rPr>
  </w:style>
  <w:style w:type="paragraph" w:styleId="Subtitle">
    <w:name w:val="Subtitle"/>
    <w:basedOn w:val="Normal"/>
    <w:next w:val="Normal"/>
    <w:link w:val="SubtitleChar"/>
    <w:uiPriority w:val="8"/>
    <w:qFormat/>
    <w:rsid w:val="00C96DD2"/>
    <w:pPr>
      <w:numPr>
        <w:ilvl w:val="1"/>
      </w:numPr>
      <w:spacing w:after="0" w:line="240" w:lineRule="auto"/>
      <w:jc w:val="left"/>
    </w:pPr>
    <w:rPr>
      <w:color w:val="auto"/>
      <w:spacing w:val="15"/>
      <w:sz w:val="32"/>
    </w:rPr>
  </w:style>
  <w:style w:type="character" w:customStyle="1" w:styleId="SubtitleChar">
    <w:name w:val="Subtitle Char"/>
    <w:basedOn w:val="DefaultParagraphFont"/>
    <w:link w:val="Subtitle"/>
    <w:uiPriority w:val="8"/>
    <w:rsid w:val="00BE3FA3"/>
    <w:rPr>
      <w:color w:val="auto"/>
      <w:spacing w:val="15"/>
      <w:sz w:val="32"/>
    </w:rPr>
  </w:style>
  <w:style w:type="character" w:customStyle="1" w:styleId="Heading3Char">
    <w:name w:val="Heading 3 Char"/>
    <w:basedOn w:val="DefaultParagraphFont"/>
    <w:link w:val="Heading3"/>
    <w:uiPriority w:val="9"/>
    <w:rsid w:val="00592CED"/>
    <w:rPr>
      <w:rFonts w:eastAsiaTheme="majorEastAsia" w:cstheme="majorBidi"/>
      <w:color w:val="auto"/>
      <w:szCs w:val="24"/>
      <w:u w:val="single"/>
    </w:rPr>
  </w:style>
  <w:style w:type="paragraph" w:styleId="ListParagraph">
    <w:name w:val="List Paragraph"/>
    <w:basedOn w:val="Normal"/>
    <w:uiPriority w:val="34"/>
    <w:qFormat/>
    <w:rsid w:val="006F6571"/>
    <w:pPr>
      <w:numPr>
        <w:numId w:val="16"/>
      </w:numPr>
    </w:pPr>
  </w:style>
  <w:style w:type="paragraph" w:customStyle="1" w:styleId="BulletPoints">
    <w:name w:val="Bullet Points"/>
    <w:basedOn w:val="ListParagraph"/>
    <w:uiPriority w:val="11"/>
    <w:rsid w:val="00CC746F"/>
    <w:pPr>
      <w:numPr>
        <w:ilvl w:val="1"/>
      </w:numPr>
    </w:pPr>
  </w:style>
  <w:style w:type="paragraph" w:styleId="Quote">
    <w:name w:val="Quote"/>
    <w:basedOn w:val="Normal"/>
    <w:next w:val="Normal"/>
    <w:link w:val="QuoteChar"/>
    <w:uiPriority w:val="14"/>
    <w:qFormat/>
    <w:rsid w:val="000100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4"/>
    <w:rsid w:val="00C5168C"/>
    <w:rPr>
      <w:i/>
      <w:iCs/>
      <w:color w:val="404040" w:themeColor="text1" w:themeTint="BF"/>
    </w:rPr>
  </w:style>
  <w:style w:type="paragraph" w:customStyle="1" w:styleId="Question">
    <w:name w:val="Question"/>
    <w:basedOn w:val="Normal"/>
    <w:uiPriority w:val="13"/>
    <w:rsid w:val="00EA689F"/>
    <w:pPr>
      <w:numPr>
        <w:numId w:val="28"/>
      </w:numPr>
      <w:ind w:hanging="1287"/>
    </w:pPr>
    <w:rPr>
      <w:i/>
      <w:iCs/>
    </w:rPr>
  </w:style>
  <w:style w:type="paragraph" w:customStyle="1" w:styleId="RECOMMENDATIONS">
    <w:name w:val="RECOMMENDATIONS"/>
    <w:basedOn w:val="ListParagraph"/>
    <w:uiPriority w:val="13"/>
    <w:qFormat/>
    <w:rsid w:val="002F7FC1"/>
    <w:pPr>
      <w:numPr>
        <w:numId w:val="24"/>
      </w:numPr>
    </w:pPr>
  </w:style>
  <w:style w:type="numbering" w:customStyle="1" w:styleId="Style1">
    <w:name w:val="Style1"/>
    <w:uiPriority w:val="99"/>
    <w:rsid w:val="00DD1D16"/>
    <w:pPr>
      <w:numPr>
        <w:numId w:val="5"/>
      </w:numPr>
    </w:pPr>
  </w:style>
  <w:style w:type="numbering" w:customStyle="1" w:styleId="RECOMMENDATION">
    <w:name w:val="RECOMMENDATION"/>
    <w:uiPriority w:val="99"/>
    <w:rsid w:val="00BF5C35"/>
    <w:pPr>
      <w:numPr>
        <w:numId w:val="7"/>
      </w:numPr>
    </w:pPr>
  </w:style>
  <w:style w:type="numbering" w:customStyle="1" w:styleId="Style2">
    <w:name w:val="Style2"/>
    <w:uiPriority w:val="99"/>
    <w:rsid w:val="00A2313C"/>
    <w:pPr>
      <w:numPr>
        <w:numId w:val="9"/>
      </w:numPr>
    </w:pPr>
  </w:style>
  <w:style w:type="numbering" w:customStyle="1" w:styleId="Style3">
    <w:name w:val="Style3"/>
    <w:uiPriority w:val="99"/>
    <w:rsid w:val="00CC746F"/>
    <w:pPr>
      <w:numPr>
        <w:numId w:val="14"/>
      </w:numPr>
    </w:pPr>
  </w:style>
  <w:style w:type="character" w:styleId="PlaceholderText">
    <w:name w:val="Placeholder Text"/>
    <w:basedOn w:val="DefaultParagraphFont"/>
    <w:uiPriority w:val="99"/>
    <w:semiHidden/>
    <w:rsid w:val="00AC044B"/>
    <w:rPr>
      <w:color w:val="808080"/>
    </w:rPr>
  </w:style>
  <w:style w:type="character" w:customStyle="1" w:styleId="NoSpacingChar">
    <w:name w:val="No Spacing Char"/>
    <w:basedOn w:val="DefaultParagraphFont"/>
    <w:link w:val="NoSpacing"/>
    <w:uiPriority w:val="1"/>
    <w:rsid w:val="00E4492E"/>
  </w:style>
  <w:style w:type="paragraph" w:styleId="Header">
    <w:name w:val="header"/>
    <w:basedOn w:val="Normal"/>
    <w:link w:val="HeaderChar"/>
    <w:uiPriority w:val="99"/>
    <w:unhideWhenUsed/>
    <w:rsid w:val="00860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E69"/>
  </w:style>
  <w:style w:type="paragraph" w:styleId="Footer">
    <w:name w:val="footer"/>
    <w:basedOn w:val="Normal"/>
    <w:link w:val="FooterChar"/>
    <w:uiPriority w:val="99"/>
    <w:unhideWhenUsed/>
    <w:rsid w:val="00860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E69"/>
  </w:style>
  <w:style w:type="character" w:styleId="Strong">
    <w:name w:val="Strong"/>
    <w:basedOn w:val="DefaultParagraphFont"/>
    <w:uiPriority w:val="22"/>
    <w:qFormat/>
    <w:rsid w:val="00D066EE"/>
    <w:rPr>
      <w:b/>
      <w:bCs/>
    </w:rPr>
  </w:style>
  <w:style w:type="table" w:styleId="TableGrid">
    <w:name w:val="Table Grid"/>
    <w:basedOn w:val="TableNormal"/>
    <w:uiPriority w:val="39"/>
    <w:rsid w:val="00D1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E5514"/>
    <w:pPr>
      <w:spacing w:after="100"/>
    </w:pPr>
    <w:rPr>
      <w:b/>
      <w:sz w:val="24"/>
    </w:rPr>
  </w:style>
  <w:style w:type="paragraph" w:styleId="TOC2">
    <w:name w:val="toc 2"/>
    <w:basedOn w:val="Normal"/>
    <w:next w:val="Normal"/>
    <w:autoRedefine/>
    <w:uiPriority w:val="39"/>
    <w:unhideWhenUsed/>
    <w:rsid w:val="008E5514"/>
    <w:pPr>
      <w:spacing w:after="100"/>
      <w:ind w:left="220"/>
    </w:pPr>
    <w:rPr>
      <w:b/>
    </w:rPr>
  </w:style>
  <w:style w:type="paragraph" w:styleId="TOC3">
    <w:name w:val="toc 3"/>
    <w:basedOn w:val="Normal"/>
    <w:next w:val="Normal"/>
    <w:autoRedefine/>
    <w:uiPriority w:val="39"/>
    <w:unhideWhenUsed/>
    <w:qFormat/>
    <w:rsid w:val="00EA75F3"/>
    <w:pPr>
      <w:spacing w:after="100"/>
      <w:ind w:left="440"/>
    </w:pPr>
  </w:style>
  <w:style w:type="character" w:styleId="Hyperlink">
    <w:name w:val="Hyperlink"/>
    <w:basedOn w:val="DefaultParagraphFont"/>
    <w:uiPriority w:val="99"/>
    <w:unhideWhenUsed/>
    <w:rsid w:val="00EA75F3"/>
    <w:rPr>
      <w:color w:val="6AC2E0" w:themeColor="hyperlink"/>
      <w:u w:val="single"/>
    </w:rPr>
  </w:style>
  <w:style w:type="paragraph" w:styleId="TOCHeading">
    <w:name w:val="TOC Heading"/>
    <w:basedOn w:val="Heading1"/>
    <w:next w:val="Normal"/>
    <w:uiPriority w:val="39"/>
    <w:unhideWhenUsed/>
    <w:qFormat/>
    <w:rsid w:val="0027368B"/>
    <w:pPr>
      <w:spacing w:before="240" w:after="360" w:line="259" w:lineRule="auto"/>
      <w:outlineLvl w:val="9"/>
    </w:pPr>
    <w:rPr>
      <w:caps/>
      <w:color w:val="5F6163" w:themeColor="accent1" w:themeShade="BF"/>
      <w:lang w:val="en-US" w:eastAsia="en-US"/>
    </w:rPr>
  </w:style>
  <w:style w:type="paragraph" w:styleId="BalloonText">
    <w:name w:val="Balloon Text"/>
    <w:basedOn w:val="Normal"/>
    <w:link w:val="BalloonTextChar"/>
    <w:uiPriority w:val="99"/>
    <w:semiHidden/>
    <w:unhideWhenUsed/>
    <w:rsid w:val="00BF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0A"/>
    <w:rPr>
      <w:rFonts w:ascii="Segoe UI" w:hAnsi="Segoe UI" w:cs="Segoe UI"/>
      <w:sz w:val="18"/>
      <w:szCs w:val="18"/>
    </w:rPr>
  </w:style>
  <w:style w:type="paragraph" w:styleId="TOC4">
    <w:name w:val="toc 4"/>
    <w:basedOn w:val="Normal"/>
    <w:next w:val="Normal"/>
    <w:autoRedefine/>
    <w:uiPriority w:val="39"/>
    <w:unhideWhenUsed/>
    <w:rsid w:val="00842498"/>
    <w:pPr>
      <w:tabs>
        <w:tab w:val="right" w:leader="dot" w:pos="10194"/>
      </w:tabs>
      <w:spacing w:after="100"/>
      <w:ind w:left="720" w:hanging="720"/>
      <w15:collapsed/>
    </w:pPr>
  </w:style>
  <w:style w:type="character" w:styleId="UnresolvedMention">
    <w:name w:val="Unresolved Mention"/>
    <w:basedOn w:val="DefaultParagraphFont"/>
    <w:uiPriority w:val="99"/>
    <w:semiHidden/>
    <w:unhideWhenUsed/>
    <w:rsid w:val="00217673"/>
    <w:rPr>
      <w:color w:val="605E5C"/>
      <w:shd w:val="clear" w:color="auto" w:fill="E1DFDD"/>
    </w:rPr>
  </w:style>
  <w:style w:type="paragraph" w:styleId="Date">
    <w:name w:val="Date"/>
    <w:basedOn w:val="Normal"/>
    <w:next w:val="Normal"/>
    <w:link w:val="DateChar"/>
    <w:uiPriority w:val="99"/>
    <w:semiHidden/>
    <w:unhideWhenUsed/>
    <w:rsid w:val="00D72D40"/>
  </w:style>
  <w:style w:type="character" w:customStyle="1" w:styleId="DateChar">
    <w:name w:val="Date Char"/>
    <w:basedOn w:val="DefaultParagraphFont"/>
    <w:link w:val="Date"/>
    <w:uiPriority w:val="99"/>
    <w:semiHidden/>
    <w:rsid w:val="00D72D40"/>
  </w:style>
  <w:style w:type="paragraph" w:styleId="Revision">
    <w:name w:val="Revision"/>
    <w:hidden/>
    <w:uiPriority w:val="99"/>
    <w:semiHidden/>
    <w:rsid w:val="00173E68"/>
    <w:pPr>
      <w:spacing w:after="0" w:line="240" w:lineRule="auto"/>
    </w:pPr>
  </w:style>
  <w:style w:type="character" w:styleId="CommentReference">
    <w:name w:val="annotation reference"/>
    <w:basedOn w:val="DefaultParagraphFont"/>
    <w:uiPriority w:val="99"/>
    <w:semiHidden/>
    <w:unhideWhenUsed/>
    <w:rsid w:val="00173E68"/>
    <w:rPr>
      <w:sz w:val="16"/>
      <w:szCs w:val="16"/>
    </w:rPr>
  </w:style>
  <w:style w:type="paragraph" w:styleId="CommentText">
    <w:name w:val="annotation text"/>
    <w:basedOn w:val="Normal"/>
    <w:link w:val="CommentTextChar"/>
    <w:uiPriority w:val="99"/>
    <w:unhideWhenUsed/>
    <w:rsid w:val="00173E68"/>
    <w:pPr>
      <w:spacing w:line="240" w:lineRule="auto"/>
    </w:pPr>
    <w:rPr>
      <w:sz w:val="20"/>
      <w:szCs w:val="20"/>
    </w:rPr>
  </w:style>
  <w:style w:type="character" w:customStyle="1" w:styleId="CommentTextChar">
    <w:name w:val="Comment Text Char"/>
    <w:basedOn w:val="DefaultParagraphFont"/>
    <w:link w:val="CommentText"/>
    <w:uiPriority w:val="99"/>
    <w:rsid w:val="00173E68"/>
    <w:rPr>
      <w:sz w:val="20"/>
      <w:szCs w:val="20"/>
    </w:rPr>
  </w:style>
  <w:style w:type="paragraph" w:styleId="CommentSubject">
    <w:name w:val="annotation subject"/>
    <w:basedOn w:val="CommentText"/>
    <w:next w:val="CommentText"/>
    <w:link w:val="CommentSubjectChar"/>
    <w:uiPriority w:val="99"/>
    <w:semiHidden/>
    <w:unhideWhenUsed/>
    <w:rsid w:val="00173E68"/>
    <w:rPr>
      <w:b/>
      <w:bCs/>
    </w:rPr>
  </w:style>
  <w:style w:type="character" w:customStyle="1" w:styleId="CommentSubjectChar">
    <w:name w:val="Comment Subject Char"/>
    <w:basedOn w:val="CommentTextChar"/>
    <w:link w:val="CommentSubject"/>
    <w:uiPriority w:val="99"/>
    <w:semiHidden/>
    <w:rsid w:val="00173E68"/>
    <w:rPr>
      <w:b/>
      <w:bCs/>
      <w:sz w:val="20"/>
      <w:szCs w:val="20"/>
    </w:rPr>
  </w:style>
  <w:style w:type="paragraph" w:styleId="FootnoteText">
    <w:name w:val="footnote text"/>
    <w:basedOn w:val="Normal"/>
    <w:link w:val="FootnoteTextChar"/>
    <w:uiPriority w:val="99"/>
    <w:rsid w:val="00E02478"/>
    <w:pPr>
      <w:spacing w:after="0" w:line="240" w:lineRule="auto"/>
    </w:pPr>
    <w:rPr>
      <w:sz w:val="16"/>
      <w:szCs w:val="20"/>
    </w:rPr>
  </w:style>
  <w:style w:type="character" w:customStyle="1" w:styleId="FootnoteTextChar">
    <w:name w:val="Footnote Text Char"/>
    <w:basedOn w:val="DefaultParagraphFont"/>
    <w:link w:val="FootnoteText"/>
    <w:uiPriority w:val="99"/>
    <w:rsid w:val="00E02478"/>
    <w:rPr>
      <w:sz w:val="16"/>
      <w:szCs w:val="20"/>
    </w:rPr>
  </w:style>
  <w:style w:type="character" w:styleId="FootnoteReference">
    <w:name w:val="footnote reference"/>
    <w:basedOn w:val="DefaultParagraphFont"/>
    <w:uiPriority w:val="99"/>
    <w:semiHidden/>
    <w:unhideWhenUsed/>
    <w:rsid w:val="009B7AEE"/>
    <w:rPr>
      <w:vertAlign w:val="superscript"/>
    </w:rPr>
  </w:style>
  <w:style w:type="character" w:customStyle="1" w:styleId="Heading5Char">
    <w:name w:val="Heading 5 Char"/>
    <w:basedOn w:val="DefaultParagraphFont"/>
    <w:link w:val="Heading5"/>
    <w:uiPriority w:val="9"/>
    <w:semiHidden/>
    <w:rsid w:val="004B2E60"/>
    <w:rPr>
      <w:rFonts w:asciiTheme="majorHAnsi" w:eastAsiaTheme="majorEastAsia" w:hAnsiTheme="majorHAnsi" w:cstheme="majorBidi"/>
      <w:color w:val="5F6163" w:themeColor="accent1" w:themeShade="BF"/>
    </w:rPr>
  </w:style>
  <w:style w:type="character" w:styleId="FollowedHyperlink">
    <w:name w:val="FollowedHyperlink"/>
    <w:basedOn w:val="DefaultParagraphFont"/>
    <w:uiPriority w:val="99"/>
    <w:semiHidden/>
    <w:unhideWhenUsed/>
    <w:rsid w:val="001D3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62846">
      <w:bodyDiv w:val="1"/>
      <w:marLeft w:val="0"/>
      <w:marRight w:val="0"/>
      <w:marTop w:val="0"/>
      <w:marBottom w:val="0"/>
      <w:divBdr>
        <w:top w:val="none" w:sz="0" w:space="0" w:color="auto"/>
        <w:left w:val="none" w:sz="0" w:space="0" w:color="auto"/>
        <w:bottom w:val="none" w:sz="0" w:space="0" w:color="auto"/>
        <w:right w:val="none" w:sz="0" w:space="0" w:color="auto"/>
      </w:divBdr>
    </w:div>
    <w:div w:id="936210413">
      <w:bodyDiv w:val="1"/>
      <w:marLeft w:val="0"/>
      <w:marRight w:val="0"/>
      <w:marTop w:val="0"/>
      <w:marBottom w:val="0"/>
      <w:divBdr>
        <w:top w:val="none" w:sz="0" w:space="0" w:color="auto"/>
        <w:left w:val="none" w:sz="0" w:space="0" w:color="auto"/>
        <w:bottom w:val="none" w:sz="0" w:space="0" w:color="auto"/>
        <w:right w:val="none" w:sz="0" w:space="0" w:color="auto"/>
      </w:divBdr>
    </w:div>
    <w:div w:id="1450125137">
      <w:bodyDiv w:val="1"/>
      <w:marLeft w:val="0"/>
      <w:marRight w:val="0"/>
      <w:marTop w:val="0"/>
      <w:marBottom w:val="0"/>
      <w:divBdr>
        <w:top w:val="none" w:sz="0" w:space="0" w:color="auto"/>
        <w:left w:val="none" w:sz="0" w:space="0" w:color="auto"/>
        <w:bottom w:val="none" w:sz="0" w:space="0" w:color="auto"/>
        <w:right w:val="none" w:sz="0" w:space="0" w:color="auto"/>
      </w:divBdr>
    </w:div>
    <w:div w:id="1838304038">
      <w:bodyDiv w:val="1"/>
      <w:marLeft w:val="0"/>
      <w:marRight w:val="0"/>
      <w:marTop w:val="0"/>
      <w:marBottom w:val="0"/>
      <w:divBdr>
        <w:top w:val="none" w:sz="0" w:space="0" w:color="auto"/>
        <w:left w:val="none" w:sz="0" w:space="0" w:color="auto"/>
        <w:bottom w:val="none" w:sz="0" w:space="0" w:color="auto"/>
        <w:right w:val="none" w:sz="0" w:space="0" w:color="auto"/>
      </w:divBdr>
    </w:div>
    <w:div w:id="2126195197">
      <w:bodyDiv w:val="1"/>
      <w:marLeft w:val="0"/>
      <w:marRight w:val="0"/>
      <w:marTop w:val="0"/>
      <w:marBottom w:val="0"/>
      <w:divBdr>
        <w:top w:val="none" w:sz="0" w:space="0" w:color="auto"/>
        <w:left w:val="none" w:sz="0" w:space="0" w:color="auto"/>
        <w:bottom w:val="none" w:sz="0" w:space="0" w:color="auto"/>
        <w:right w:val="none" w:sz="0" w:space="0" w:color="auto"/>
      </w:divBdr>
      <w:divsChild>
        <w:div w:id="680550789">
          <w:marLeft w:val="0"/>
          <w:marRight w:val="0"/>
          <w:marTop w:val="1260"/>
          <w:marBottom w:val="0"/>
          <w:divBdr>
            <w:top w:val="none" w:sz="0" w:space="0" w:color="auto"/>
            <w:left w:val="none" w:sz="0" w:space="0" w:color="auto"/>
            <w:bottom w:val="none" w:sz="0" w:space="0" w:color="auto"/>
            <w:right w:val="none" w:sz="0" w:space="0" w:color="auto"/>
          </w:divBdr>
          <w:divsChild>
            <w:div w:id="16468568">
              <w:marLeft w:val="0"/>
              <w:marRight w:val="0"/>
              <w:marTop w:val="0"/>
              <w:marBottom w:val="0"/>
              <w:divBdr>
                <w:top w:val="single" w:sz="18" w:space="6" w:color="D3DBE4"/>
                <w:left w:val="none" w:sz="0" w:space="0" w:color="auto"/>
                <w:bottom w:val="none" w:sz="0" w:space="0" w:color="auto"/>
                <w:right w:val="none" w:sz="0" w:space="0" w:color="auto"/>
              </w:divBdr>
              <w:divsChild>
                <w:div w:id="2572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3526">
          <w:marLeft w:val="0"/>
          <w:marRight w:val="0"/>
          <w:marTop w:val="0"/>
          <w:marBottom w:val="0"/>
          <w:divBdr>
            <w:top w:val="none" w:sz="0" w:space="0" w:color="auto"/>
            <w:left w:val="none" w:sz="0" w:space="0" w:color="auto"/>
            <w:bottom w:val="none" w:sz="0" w:space="0" w:color="auto"/>
            <w:right w:val="none" w:sz="0" w:space="0" w:color="auto"/>
          </w:divBdr>
          <w:divsChild>
            <w:div w:id="16610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irene@consumeraction.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consumeraction.org.au/20190404-sunny-side-up-report/" TargetMode="External"/><Relationship Id="rId3" Type="http://schemas.openxmlformats.org/officeDocument/2006/relationships/hyperlink" Target="https://consumeraction.org.au/wp-content/uploads/2017/11/Knock-it-off-Consumer-Action-Law-Centre-November-2017.pdf" TargetMode="External"/><Relationship Id="rId7" Type="http://schemas.openxmlformats.org/officeDocument/2006/relationships/hyperlink" Target="https://consumeraction.org.au/banning-telemarketing-under-the-victorian-energy-upgrades-program/" TargetMode="External"/><Relationship Id="rId2" Type="http://schemas.openxmlformats.org/officeDocument/2006/relationships/hyperlink" Target="https://consumeraction.org.au/wp-content/uploads/2013/01/Coercion-and-Harassment-at-the-Door-Energy-Marketing-in-Victoria.pdf" TargetMode="External"/><Relationship Id="rId1" Type="http://schemas.openxmlformats.org/officeDocument/2006/relationships/hyperlink" Target="https://consumeraction.org.au/banning-telemarketing-under-the-victorian-energy-upgrades-program/" TargetMode="External"/><Relationship Id="rId6" Type="http://schemas.openxmlformats.org/officeDocument/2006/relationships/hyperlink" Target="https://engage.vic.gov.au/marketing-under-the-victorian-energy-upgrades-program" TargetMode="External"/><Relationship Id="rId5" Type="http://schemas.openxmlformats.org/officeDocument/2006/relationships/hyperlink" Target="https://engage.vic.gov.au/marketing-under-the-victorian-energy-upgrades-program" TargetMode="External"/><Relationship Id="rId4" Type="http://schemas.openxmlformats.org/officeDocument/2006/relationships/hyperlink" Target="https://consumeraction.org.au/new-polling-3-4-australians-want-ban-door-door-s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reneTsolidisNoyce\Consumer%20Action%20Law%20Centre\Policy%20User%20-%20CALC%20Templates\CALC_Template_Submissions_Letterhead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80B3B8BBE40483AA4642DDB4CB71503"/>
        <w:category>
          <w:name w:val="General"/>
          <w:gallery w:val="placeholder"/>
        </w:category>
        <w:types>
          <w:type w:val="bbPlcHdr"/>
        </w:types>
        <w:behaviors>
          <w:behavior w:val="content"/>
        </w:behaviors>
        <w:guid w:val="{C693F067-D665-4F33-BD6B-577B06E46F14}"/>
      </w:docPartPr>
      <w:docPartBody>
        <w:p w:rsidR="00240E58" w:rsidRDefault="00240E58">
          <w:pPr>
            <w:pStyle w:val="580B3B8BBE40483AA4642DDB4CB71503"/>
          </w:pPr>
          <w:r w:rsidRPr="002617A4">
            <w:rPr>
              <w:rStyle w:val="PlaceholderText"/>
            </w:rPr>
            <w:t>Click or tap here to enter text.</w:t>
          </w:r>
        </w:p>
      </w:docPartBody>
    </w:docPart>
    <w:docPart>
      <w:docPartPr>
        <w:name w:val="1592E3A46258436AAA594E8FBD31029C"/>
        <w:category>
          <w:name w:val="General"/>
          <w:gallery w:val="placeholder"/>
        </w:category>
        <w:types>
          <w:type w:val="bbPlcHdr"/>
        </w:types>
        <w:behaviors>
          <w:behavior w:val="content"/>
        </w:behaviors>
        <w:guid w:val="{46D2147D-438E-41EE-9F06-1D26A6C8C7AC}"/>
      </w:docPartPr>
      <w:docPartBody>
        <w:p w:rsidR="00240E58" w:rsidRDefault="00240E58">
          <w:pPr>
            <w:pStyle w:val="1592E3A46258436AAA594E8FBD31029C"/>
          </w:pPr>
          <w:r w:rsidRPr="002617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58"/>
    <w:rsid w:val="00137A6E"/>
    <w:rsid w:val="00240E58"/>
    <w:rsid w:val="002F1FEC"/>
    <w:rsid w:val="00682C96"/>
    <w:rsid w:val="00AD380A"/>
    <w:rsid w:val="00DC1CE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0B3B8BBE40483AA4642DDB4CB71503">
    <w:name w:val="580B3B8BBE40483AA4642DDB4CB71503"/>
  </w:style>
  <w:style w:type="paragraph" w:customStyle="1" w:styleId="1592E3A46258436AAA594E8FBD31029C">
    <w:name w:val="1592E3A46258436AAA594E8FBD310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ALC Theme Colours">
      <a:dk1>
        <a:sysClr val="windowText" lastClr="000000"/>
      </a:dk1>
      <a:lt1>
        <a:sysClr val="window" lastClr="FFFFFF"/>
      </a:lt1>
      <a:dk2>
        <a:srgbClr val="333333"/>
      </a:dk2>
      <a:lt2>
        <a:srgbClr val="FFFFFF"/>
      </a:lt2>
      <a:accent1>
        <a:srgbClr val="808285"/>
      </a:accent1>
      <a:accent2>
        <a:srgbClr val="99CC00"/>
      </a:accent2>
      <a:accent3>
        <a:srgbClr val="D1FF47"/>
      </a:accent3>
      <a:accent4>
        <a:srgbClr val="248DB1"/>
      </a:accent4>
      <a:accent5>
        <a:srgbClr val="FF7C00"/>
      </a:accent5>
      <a:accent6>
        <a:srgbClr val="004C21"/>
      </a:accent6>
      <a:hlink>
        <a:srgbClr val="6AC2E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2893060055C640AEE8B6343F0DB400" ma:contentTypeVersion="11" ma:contentTypeDescription="Create a new document." ma:contentTypeScope="" ma:versionID="fcd04df01f147f0e2f12e6029c61aa57">
  <xsd:schema xmlns:xsd="http://www.w3.org/2001/XMLSchema" xmlns:xs="http://www.w3.org/2001/XMLSchema" xmlns:p="http://schemas.microsoft.com/office/2006/metadata/properties" xmlns:ns3="0dda672c-15b7-4beb-aed9-6b8d02c998ce" xmlns:ns4="6eede158-7c4b-4623-acb1-d60b85d2f446" targetNamespace="http://schemas.microsoft.com/office/2006/metadata/properties" ma:root="true" ma:fieldsID="ec0a4628094515d50f90a5d62971c235" ns3:_="" ns4:_="">
    <xsd:import namespace="0dda672c-15b7-4beb-aed9-6b8d02c998ce"/>
    <xsd:import namespace="6eede158-7c4b-4623-acb1-d60b85d2f4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a672c-15b7-4beb-aed9-6b8d02c998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de158-7c4b-4623-acb1-d60b85d2f4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C562D-825E-4D2D-83D9-51F5B773F275}">
  <ds:schemaRefs>
    <ds:schemaRef ds:uri="http://schemas.openxmlformats.org/officeDocument/2006/bibliography"/>
  </ds:schemaRefs>
</ds:datastoreItem>
</file>

<file path=customXml/itemProps2.xml><?xml version="1.0" encoding="utf-8"?>
<ds:datastoreItem xmlns:ds="http://schemas.openxmlformats.org/officeDocument/2006/customXml" ds:itemID="{489AD13E-99D5-497C-BFD6-D87B8CD0C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A9E395-4459-4BDE-A3FE-431E23265FB2}">
  <ds:schemaRefs>
    <ds:schemaRef ds:uri="http://schemas.microsoft.com/sharepoint/v3/contenttype/forms"/>
  </ds:schemaRefs>
</ds:datastoreItem>
</file>

<file path=customXml/itemProps4.xml><?xml version="1.0" encoding="utf-8"?>
<ds:datastoreItem xmlns:ds="http://schemas.openxmlformats.org/officeDocument/2006/customXml" ds:itemID="{374129D7-0B92-466E-B45B-04FDF0C0A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a672c-15b7-4beb-aed9-6b8d02c998ce"/>
    <ds:schemaRef ds:uri="6eede158-7c4b-4623-acb1-d60b85d2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CALC_Template_Submissions_Letterhead_NEW.dotx</Template>
  <TotalTime>4</TotalTime>
  <Pages>1</Pages>
  <Words>2006</Words>
  <Characters>11438</Characters>
  <Application>Microsoft Office Word</Application>
  <DocSecurity>4</DocSecurity>
  <Lines>95</Lines>
  <Paragraphs>26</Paragraphs>
  <ScaleCrop>false</ScaleCrop>
  <Company/>
  <LinksUpToDate>false</LinksUpToDate>
  <CharactersWithSpaces>13418</CharactersWithSpaces>
  <SharedDoc>false</SharedDoc>
  <HLinks>
    <vt:vector size="120" baseType="variant">
      <vt:variant>
        <vt:i4>5570614</vt:i4>
      </vt:variant>
      <vt:variant>
        <vt:i4>72</vt:i4>
      </vt:variant>
      <vt:variant>
        <vt:i4>0</vt:i4>
      </vt:variant>
      <vt:variant>
        <vt:i4>5</vt:i4>
      </vt:variant>
      <vt:variant>
        <vt:lpwstr>mailto:eirene@consumeraction.org.au</vt:lpwstr>
      </vt:variant>
      <vt:variant>
        <vt:lpwstr/>
      </vt:variant>
      <vt:variant>
        <vt:i4>1310772</vt:i4>
      </vt:variant>
      <vt:variant>
        <vt:i4>65</vt:i4>
      </vt:variant>
      <vt:variant>
        <vt:i4>0</vt:i4>
      </vt:variant>
      <vt:variant>
        <vt:i4>5</vt:i4>
      </vt:variant>
      <vt:variant>
        <vt:lpwstr/>
      </vt:variant>
      <vt:variant>
        <vt:lpwstr>_Toc161212555</vt:lpwstr>
      </vt:variant>
      <vt:variant>
        <vt:i4>1310772</vt:i4>
      </vt:variant>
      <vt:variant>
        <vt:i4>59</vt:i4>
      </vt:variant>
      <vt:variant>
        <vt:i4>0</vt:i4>
      </vt:variant>
      <vt:variant>
        <vt:i4>5</vt:i4>
      </vt:variant>
      <vt:variant>
        <vt:lpwstr/>
      </vt:variant>
      <vt:variant>
        <vt:lpwstr>_Toc161212554</vt:lpwstr>
      </vt:variant>
      <vt:variant>
        <vt:i4>1310772</vt:i4>
      </vt:variant>
      <vt:variant>
        <vt:i4>53</vt:i4>
      </vt:variant>
      <vt:variant>
        <vt:i4>0</vt:i4>
      </vt:variant>
      <vt:variant>
        <vt:i4>5</vt:i4>
      </vt:variant>
      <vt:variant>
        <vt:lpwstr/>
      </vt:variant>
      <vt:variant>
        <vt:lpwstr>_Toc161212553</vt:lpwstr>
      </vt:variant>
      <vt:variant>
        <vt:i4>1310772</vt:i4>
      </vt:variant>
      <vt:variant>
        <vt:i4>47</vt:i4>
      </vt:variant>
      <vt:variant>
        <vt:i4>0</vt:i4>
      </vt:variant>
      <vt:variant>
        <vt:i4>5</vt:i4>
      </vt:variant>
      <vt:variant>
        <vt:lpwstr/>
      </vt:variant>
      <vt:variant>
        <vt:lpwstr>_Toc161212552</vt:lpwstr>
      </vt:variant>
      <vt:variant>
        <vt:i4>1310772</vt:i4>
      </vt:variant>
      <vt:variant>
        <vt:i4>41</vt:i4>
      </vt:variant>
      <vt:variant>
        <vt:i4>0</vt:i4>
      </vt:variant>
      <vt:variant>
        <vt:i4>5</vt:i4>
      </vt:variant>
      <vt:variant>
        <vt:lpwstr/>
      </vt:variant>
      <vt:variant>
        <vt:lpwstr>_Toc161212551</vt:lpwstr>
      </vt:variant>
      <vt:variant>
        <vt:i4>1310772</vt:i4>
      </vt:variant>
      <vt:variant>
        <vt:i4>35</vt:i4>
      </vt:variant>
      <vt:variant>
        <vt:i4>0</vt:i4>
      </vt:variant>
      <vt:variant>
        <vt:i4>5</vt:i4>
      </vt:variant>
      <vt:variant>
        <vt:lpwstr/>
      </vt:variant>
      <vt:variant>
        <vt:lpwstr>_Toc161212550</vt:lpwstr>
      </vt:variant>
      <vt:variant>
        <vt:i4>1376308</vt:i4>
      </vt:variant>
      <vt:variant>
        <vt:i4>29</vt:i4>
      </vt:variant>
      <vt:variant>
        <vt:i4>0</vt:i4>
      </vt:variant>
      <vt:variant>
        <vt:i4>5</vt:i4>
      </vt:variant>
      <vt:variant>
        <vt:lpwstr/>
      </vt:variant>
      <vt:variant>
        <vt:lpwstr>_Toc161212549</vt:lpwstr>
      </vt:variant>
      <vt:variant>
        <vt:i4>1376308</vt:i4>
      </vt:variant>
      <vt:variant>
        <vt:i4>23</vt:i4>
      </vt:variant>
      <vt:variant>
        <vt:i4>0</vt:i4>
      </vt:variant>
      <vt:variant>
        <vt:i4>5</vt:i4>
      </vt:variant>
      <vt:variant>
        <vt:lpwstr/>
      </vt:variant>
      <vt:variant>
        <vt:lpwstr>_Toc161212548</vt:lpwstr>
      </vt:variant>
      <vt:variant>
        <vt:i4>1376308</vt:i4>
      </vt:variant>
      <vt:variant>
        <vt:i4>17</vt:i4>
      </vt:variant>
      <vt:variant>
        <vt:i4>0</vt:i4>
      </vt:variant>
      <vt:variant>
        <vt:i4>5</vt:i4>
      </vt:variant>
      <vt:variant>
        <vt:lpwstr/>
      </vt:variant>
      <vt:variant>
        <vt:lpwstr>_Toc161212547</vt:lpwstr>
      </vt:variant>
      <vt:variant>
        <vt:i4>1376308</vt:i4>
      </vt:variant>
      <vt:variant>
        <vt:i4>11</vt:i4>
      </vt:variant>
      <vt:variant>
        <vt:i4>0</vt:i4>
      </vt:variant>
      <vt:variant>
        <vt:i4>5</vt:i4>
      </vt:variant>
      <vt:variant>
        <vt:lpwstr/>
      </vt:variant>
      <vt:variant>
        <vt:lpwstr>_Toc161212546</vt:lpwstr>
      </vt:variant>
      <vt:variant>
        <vt:i4>1376308</vt:i4>
      </vt:variant>
      <vt:variant>
        <vt:i4>5</vt:i4>
      </vt:variant>
      <vt:variant>
        <vt:i4>0</vt:i4>
      </vt:variant>
      <vt:variant>
        <vt:i4>5</vt:i4>
      </vt:variant>
      <vt:variant>
        <vt:lpwstr/>
      </vt:variant>
      <vt:variant>
        <vt:lpwstr>_Toc161212545</vt:lpwstr>
      </vt:variant>
      <vt:variant>
        <vt:i4>4718610</vt:i4>
      </vt:variant>
      <vt:variant>
        <vt:i4>21</vt:i4>
      </vt:variant>
      <vt:variant>
        <vt:i4>0</vt:i4>
      </vt:variant>
      <vt:variant>
        <vt:i4>5</vt:i4>
      </vt:variant>
      <vt:variant>
        <vt:lpwstr>https://consumeraction.org.au/20190404-sunny-side-up-report/</vt:lpwstr>
      </vt:variant>
      <vt:variant>
        <vt:lpwstr/>
      </vt:variant>
      <vt:variant>
        <vt:i4>262174</vt:i4>
      </vt:variant>
      <vt:variant>
        <vt:i4>18</vt:i4>
      </vt:variant>
      <vt:variant>
        <vt:i4>0</vt:i4>
      </vt:variant>
      <vt:variant>
        <vt:i4>5</vt:i4>
      </vt:variant>
      <vt:variant>
        <vt:lpwstr>https://consumeraction.org.au/banning-telemarketing-under-the-victorian-energy-upgrades-program/</vt:lpwstr>
      </vt:variant>
      <vt:variant>
        <vt:lpwstr/>
      </vt:variant>
      <vt:variant>
        <vt:i4>6684721</vt:i4>
      </vt:variant>
      <vt:variant>
        <vt:i4>15</vt:i4>
      </vt:variant>
      <vt:variant>
        <vt:i4>0</vt:i4>
      </vt:variant>
      <vt:variant>
        <vt:i4>5</vt:i4>
      </vt:variant>
      <vt:variant>
        <vt:lpwstr>https://engage.vic.gov.au/marketing-under-the-victorian-energy-upgrades-program</vt:lpwstr>
      </vt:variant>
      <vt:variant>
        <vt:lpwstr/>
      </vt:variant>
      <vt:variant>
        <vt:i4>6684721</vt:i4>
      </vt:variant>
      <vt:variant>
        <vt:i4>12</vt:i4>
      </vt:variant>
      <vt:variant>
        <vt:i4>0</vt:i4>
      </vt:variant>
      <vt:variant>
        <vt:i4>5</vt:i4>
      </vt:variant>
      <vt:variant>
        <vt:lpwstr>https://engage.vic.gov.au/marketing-under-the-victorian-energy-upgrades-program</vt:lpwstr>
      </vt:variant>
      <vt:variant>
        <vt:lpwstr/>
      </vt:variant>
      <vt:variant>
        <vt:i4>3932277</vt:i4>
      </vt:variant>
      <vt:variant>
        <vt:i4>9</vt:i4>
      </vt:variant>
      <vt:variant>
        <vt:i4>0</vt:i4>
      </vt:variant>
      <vt:variant>
        <vt:i4>5</vt:i4>
      </vt:variant>
      <vt:variant>
        <vt:lpwstr>https://consumeraction.org.au/new-polling-3-4-australians-want-ban-door-door-sales/</vt:lpwstr>
      </vt:variant>
      <vt:variant>
        <vt:lpwstr/>
      </vt:variant>
      <vt:variant>
        <vt:i4>6946942</vt:i4>
      </vt:variant>
      <vt:variant>
        <vt:i4>6</vt:i4>
      </vt:variant>
      <vt:variant>
        <vt:i4>0</vt:i4>
      </vt:variant>
      <vt:variant>
        <vt:i4>5</vt:i4>
      </vt:variant>
      <vt:variant>
        <vt:lpwstr>https://consumeraction.org.au/wp-content/uploads/2017/11/Knock-it-off-Consumer-Action-Law-Centre-November-2017.pdf</vt:lpwstr>
      </vt:variant>
      <vt:variant>
        <vt:lpwstr/>
      </vt:variant>
      <vt:variant>
        <vt:i4>1572952</vt:i4>
      </vt:variant>
      <vt:variant>
        <vt:i4>3</vt:i4>
      </vt:variant>
      <vt:variant>
        <vt:i4>0</vt:i4>
      </vt:variant>
      <vt:variant>
        <vt:i4>5</vt:i4>
      </vt:variant>
      <vt:variant>
        <vt:lpwstr>https://consumeraction.org.au/wp-content/uploads/2013/01/Coercion-and-Harassment-at-the-Door-Energy-Marketing-in-Victoria.pdf</vt:lpwstr>
      </vt:variant>
      <vt:variant>
        <vt:lpwstr/>
      </vt:variant>
      <vt:variant>
        <vt:i4>262174</vt:i4>
      </vt:variant>
      <vt:variant>
        <vt:i4>0</vt:i4>
      </vt:variant>
      <vt:variant>
        <vt:i4>0</vt:i4>
      </vt:variant>
      <vt:variant>
        <vt:i4>5</vt:i4>
      </vt:variant>
      <vt:variant>
        <vt:lpwstr>https://consumeraction.org.au/banning-telemarketing-under-the-victorian-energy-upgrades-program/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Eirene Tsolidis Noyce</dc:creator>
  <cp:keywords/>
  <dc:description/>
  <cp:lastModifiedBy>Steph Tonkin</cp:lastModifiedBy>
  <cp:revision>302</cp:revision>
  <cp:lastPrinted>2024-03-18T21:18:00Z</cp:lastPrinted>
  <dcterms:created xsi:type="dcterms:W3CDTF">2024-03-07T10:55:00Z</dcterms:created>
  <dcterms:modified xsi:type="dcterms:W3CDTF">2024-03-18T21:18:00Z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0x010100242893060055C640AEE8B6343F0DB400</vt:lpwstr>
  </property>
</Properties>
</file>