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2EE29" w14:textId="77777777" w:rsidR="00ED54F8" w:rsidRDefault="00ED54F8" w:rsidP="008E5514"/>
    <w:p w14:paraId="4E87A789" w14:textId="77777777" w:rsidR="00ED54F8" w:rsidRDefault="00ED54F8" w:rsidP="008E5514"/>
    <w:p w14:paraId="45330A5C" w14:textId="40E1FE5F" w:rsidR="00ED54F8" w:rsidRDefault="00ED54F8" w:rsidP="008E5514"/>
    <w:p w14:paraId="52215239" w14:textId="77777777" w:rsidR="00ED54F8" w:rsidRDefault="00ED54F8" w:rsidP="008E5514"/>
    <w:p w14:paraId="210D6FC6" w14:textId="60BB1245" w:rsidR="00022FA2" w:rsidRDefault="00022FA2" w:rsidP="008E5514"/>
    <w:p w14:paraId="73760D50" w14:textId="77777777" w:rsidR="00022FA2" w:rsidRDefault="00022FA2" w:rsidP="008E5514"/>
    <w:p w14:paraId="635C36A3" w14:textId="27B987BC" w:rsidR="00147ED3" w:rsidRDefault="00147ED3" w:rsidP="008E5514">
      <w:r>
        <w:fldChar w:fldCharType="begin"/>
      </w:r>
      <w:r>
        <w:instrText xml:space="preserve"> DATE \@ "dd MMMM yyyy" </w:instrText>
      </w:r>
      <w:r>
        <w:fldChar w:fldCharType="separate"/>
      </w:r>
      <w:r w:rsidR="00960D44">
        <w:rPr>
          <w:noProof/>
        </w:rPr>
        <w:t>13 August 2026</w:t>
      </w:r>
      <w:r>
        <w:fldChar w:fldCharType="end"/>
      </w:r>
    </w:p>
    <w:p w14:paraId="467822F7" w14:textId="1FD4D782" w:rsidR="00224B41" w:rsidRDefault="00224B41" w:rsidP="00283817">
      <w:pPr>
        <w:pStyle w:val="Title"/>
      </w:pPr>
      <w:r>
        <w:t>ENSURING THE SCAMS PREVENTION FRAMEWORK WORKS FOR FIRST NATIONS CONSUMERS</w:t>
      </w:r>
    </w:p>
    <w:p w14:paraId="1C271CA4" w14:textId="6FB744F4" w:rsidR="003F07CA" w:rsidRDefault="008C1BDF" w:rsidP="00283817">
      <w:pPr>
        <w:pStyle w:val="Title"/>
      </w:pPr>
      <w:r>
        <w:rPr>
          <w:sz w:val="28"/>
          <w:szCs w:val="28"/>
        </w:rPr>
        <w:t>Consumer Action Law Centre s</w:t>
      </w:r>
      <w:r w:rsidR="00224B41">
        <w:rPr>
          <w:sz w:val="28"/>
          <w:szCs w:val="28"/>
        </w:rPr>
        <w:t xml:space="preserve">upplementary submission </w:t>
      </w:r>
      <w:r w:rsidR="00792D8F">
        <w:t xml:space="preserve"> </w:t>
      </w:r>
    </w:p>
    <w:p w14:paraId="756161ED" w14:textId="13990347" w:rsidR="00937BBF" w:rsidRDefault="00AF442C" w:rsidP="004B75B9">
      <w:r>
        <w:t xml:space="preserve">This </w:t>
      </w:r>
      <w:r w:rsidR="0035625F">
        <w:t xml:space="preserve">supplementary </w:t>
      </w:r>
      <w:r w:rsidR="00744FB1">
        <w:t>submission</w:t>
      </w:r>
      <w:r w:rsidR="00332767">
        <w:t xml:space="preserve"> should be read alongside our main joint consumer submission on the Scams Prevention Framework (SPF), submitted on Friday 3 July 2026. </w:t>
      </w:r>
      <w:r w:rsidR="008C1BDF">
        <w:t>This submission</w:t>
      </w:r>
      <w:r w:rsidR="00332767">
        <w:t xml:space="preserve"> considers whether </w:t>
      </w:r>
      <w:r w:rsidR="00C71A9C">
        <w:t xml:space="preserve">the </w:t>
      </w:r>
      <w:r w:rsidR="008C1BDF">
        <w:t>SPF</w:t>
      </w:r>
      <w:r w:rsidR="00C71A9C">
        <w:t xml:space="preserve"> will provide effective, accessible and culturally safe protections for First Nations consumers</w:t>
      </w:r>
      <w:r w:rsidR="005E712B">
        <w:t xml:space="preserve"> and</w:t>
      </w:r>
      <w:r w:rsidR="00C71A9C">
        <w:t xml:space="preserve"> highlights the distinct barriers </w:t>
      </w:r>
      <w:r w:rsidR="00887D73">
        <w:t>First Nations consumers may face in responding to scams</w:t>
      </w:r>
      <w:r w:rsidR="00E8375A">
        <w:t>. These barriers</w:t>
      </w:r>
      <w:r w:rsidR="00937BBF">
        <w:t xml:space="preserve"> includ</w:t>
      </w:r>
      <w:r w:rsidR="00E8375A">
        <w:t>e</w:t>
      </w:r>
      <w:r w:rsidR="00937BBF">
        <w:t xml:space="preserve"> remoteness, digital exclusion, limited access to </w:t>
      </w:r>
      <w:r w:rsidR="00EB5B37">
        <w:t xml:space="preserve">business </w:t>
      </w:r>
      <w:r w:rsidR="00937BBF">
        <w:t>branches and culturally inappropriate financial</w:t>
      </w:r>
      <w:r w:rsidR="00EB5B37">
        <w:t>, telco</w:t>
      </w:r>
      <w:r w:rsidR="007B2B13">
        <w:t xml:space="preserve"> and digital platform</w:t>
      </w:r>
      <w:r w:rsidR="00937BBF">
        <w:t xml:space="preserve"> systems and complaint processes.</w:t>
      </w:r>
    </w:p>
    <w:p w14:paraId="40C0665B" w14:textId="2AFAA30F" w:rsidR="00AF442C" w:rsidRDefault="00937BBF" w:rsidP="004B75B9">
      <w:r>
        <w:t xml:space="preserve">It recommends targeted </w:t>
      </w:r>
      <w:r w:rsidR="00B63393">
        <w:t xml:space="preserve">changes to ensure the SPF does not reproduce existing </w:t>
      </w:r>
      <w:r w:rsidR="009C63BD">
        <w:t>inequalities</w:t>
      </w:r>
      <w:r w:rsidR="00B63393">
        <w:t xml:space="preserve"> and that regulated entities </w:t>
      </w:r>
      <w:r w:rsidR="009C63BD">
        <w:t xml:space="preserve">are required to design their systems, support and dispute resolution pathways with </w:t>
      </w:r>
      <w:r w:rsidR="005808B1">
        <w:t xml:space="preserve">and for </w:t>
      </w:r>
      <w:r w:rsidR="009C63BD">
        <w:t xml:space="preserve">First Nations consumers and communities. </w:t>
      </w:r>
      <w:r>
        <w:t xml:space="preserve"> </w:t>
      </w:r>
    </w:p>
    <w:p w14:paraId="5E6AD2EC" w14:textId="4409A997" w:rsidR="004B75B9" w:rsidRDefault="004B75B9" w:rsidP="004B75B9">
      <w:r>
        <w:t xml:space="preserve">A summary of recommendations is available at </w:t>
      </w:r>
      <w:r w:rsidRPr="00E629A8">
        <w:rPr>
          <w:rStyle w:val="Strong"/>
        </w:rPr>
        <w:t xml:space="preserve">Appendix </w:t>
      </w:r>
      <w:r>
        <w:rPr>
          <w:rStyle w:val="Strong"/>
        </w:rPr>
        <w:t>A</w:t>
      </w:r>
      <w:r>
        <w:t xml:space="preserve">. </w:t>
      </w:r>
    </w:p>
    <w:p w14:paraId="432A7FDA" w14:textId="0B160FED" w:rsidR="002B3122" w:rsidRDefault="002B3122" w:rsidP="004B75B9"/>
    <w:p w14:paraId="5077990C" w14:textId="5B7B7647" w:rsidR="002B3122" w:rsidRDefault="002B3122" w:rsidP="004B75B9"/>
    <w:p w14:paraId="17374CCF" w14:textId="2EB0221F" w:rsidR="00A13FD0" w:rsidRDefault="00A13FD0" w:rsidP="008E5514"/>
    <w:p w14:paraId="3F8A66CF" w14:textId="77777777" w:rsidR="002B3122" w:rsidRDefault="002B3122" w:rsidP="000B6265"/>
    <w:p w14:paraId="3B96E339" w14:textId="2875AD4E" w:rsidR="002B3122" w:rsidRDefault="002B3122" w:rsidP="000B6265"/>
    <w:p w14:paraId="2697DB40" w14:textId="77777777" w:rsidR="002B3122" w:rsidRDefault="002B3122" w:rsidP="000B6265"/>
    <w:p w14:paraId="2AC2DC0D" w14:textId="1895346B" w:rsidR="00D26C4E" w:rsidRDefault="00D26C4E" w:rsidP="000B6265"/>
    <w:p w14:paraId="1080A23C" w14:textId="542E2C39" w:rsidR="00D26C4E" w:rsidRDefault="00D26C4E" w:rsidP="000B6265"/>
    <w:p w14:paraId="6FE239AB" w14:textId="77777777" w:rsidR="00036AD0" w:rsidRDefault="00036AD0" w:rsidP="00036AD0">
      <w:pPr>
        <w:pStyle w:val="Heading1"/>
        <w:rPr>
          <w:sz w:val="22"/>
          <w:szCs w:val="22"/>
        </w:rPr>
      </w:pPr>
    </w:p>
    <w:p w14:paraId="147EA664" w14:textId="77777777" w:rsidR="00036AD0" w:rsidRDefault="00036AD0" w:rsidP="00036AD0">
      <w:pPr>
        <w:pStyle w:val="Heading1"/>
        <w:rPr>
          <w:sz w:val="22"/>
          <w:szCs w:val="22"/>
        </w:rPr>
      </w:pPr>
    </w:p>
    <w:p w14:paraId="053D9677" w14:textId="77777777" w:rsidR="00036AD0" w:rsidRDefault="00036AD0" w:rsidP="00036AD0">
      <w:pPr>
        <w:pStyle w:val="Heading1"/>
        <w:rPr>
          <w:sz w:val="22"/>
          <w:szCs w:val="22"/>
        </w:rPr>
      </w:pPr>
    </w:p>
    <w:p w14:paraId="7BD30792" w14:textId="77777777" w:rsidR="00036AD0" w:rsidRDefault="00036AD0" w:rsidP="00036AD0">
      <w:pPr>
        <w:pStyle w:val="Heading1"/>
        <w:rPr>
          <w:sz w:val="22"/>
          <w:szCs w:val="22"/>
        </w:rPr>
      </w:pPr>
    </w:p>
    <w:p w14:paraId="73CDCCCB" w14:textId="69D662E0" w:rsidR="00036AD0" w:rsidRPr="00716DD7" w:rsidRDefault="00036AD0" w:rsidP="00716DD7">
      <w:pPr>
        <w:rPr>
          <w:b/>
          <w:bCs/>
        </w:rPr>
      </w:pPr>
      <w:r w:rsidRPr="00716DD7">
        <w:rPr>
          <w:b/>
          <w:bCs/>
        </w:rPr>
        <w:t>Use of Artificial Intelligence</w:t>
      </w:r>
    </w:p>
    <w:p w14:paraId="3E1C6B06" w14:textId="77777777" w:rsidR="00036AD0" w:rsidRDefault="00036AD0" w:rsidP="000B6265">
      <w:pPr>
        <w:rPr>
          <w:i/>
          <w:iCs/>
        </w:rPr>
      </w:pPr>
      <w:r>
        <w:rPr>
          <w:i/>
          <w:iCs/>
        </w:rPr>
        <w:t xml:space="preserve">Artificial intelligence (AI) tools were used to assist with administrative and editorial tasks in the preparation of this submission, including formatting, document organisation, proofreading and language refinement. The analysis, recommendations, legal and policy positions, and substantive content of the submission were developed, reviewed and approved by Consumer Action Law Centre staff. </w:t>
      </w:r>
    </w:p>
    <w:sdt>
      <w:sdtPr>
        <w:rPr>
          <w:rFonts w:eastAsiaTheme="minorEastAsia" w:cstheme="minorBidi"/>
          <w:b w:val="0"/>
          <w:caps w:val="0"/>
          <w:color w:val="000000" w:themeColor="text1"/>
          <w:sz w:val="22"/>
          <w:szCs w:val="22"/>
          <w:lang w:val="en-GB" w:eastAsia="ja-JP"/>
        </w:rPr>
        <w:id w:val="565919468"/>
        <w:docPartObj>
          <w:docPartGallery w:val="Table of Contents"/>
          <w:docPartUnique/>
        </w:docPartObj>
      </w:sdtPr>
      <w:sdtEndPr>
        <w:rPr>
          <w:bCs/>
          <w:noProof/>
          <w:lang w:val="en-AU"/>
        </w:rPr>
      </w:sdtEndPr>
      <w:sdtContent>
        <w:p w14:paraId="178F3410" w14:textId="77777777" w:rsidR="00B056C9" w:rsidRDefault="00B056C9">
          <w:pPr>
            <w:pStyle w:val="TOCHeading"/>
          </w:pPr>
          <w:r>
            <w:t>Table of Contents</w:t>
          </w:r>
        </w:p>
        <w:p w14:paraId="04D533A8" w14:textId="42601D4E" w:rsidR="009A1A2C" w:rsidRDefault="00B056C9">
          <w:pPr>
            <w:pStyle w:val="TOC1"/>
            <w:tabs>
              <w:tab w:val="right" w:leader="dot" w:pos="10194"/>
            </w:tabs>
            <w:rPr>
              <w:rFonts w:asciiTheme="minorHAnsi" w:hAnsiTheme="minorHAnsi"/>
              <w:b w:val="0"/>
              <w:noProof/>
              <w:color w:val="auto"/>
              <w:kern w:val="2"/>
              <w:szCs w:val="24"/>
              <w:lang w:eastAsia="en-AU"/>
              <w14:ligatures w14:val="standardContextual"/>
            </w:rPr>
          </w:pPr>
          <w:r>
            <w:fldChar w:fldCharType="begin"/>
          </w:r>
          <w:r>
            <w:instrText xml:space="preserve"> TOC \o "1-3" \h \z \u </w:instrText>
          </w:r>
          <w:r>
            <w:fldChar w:fldCharType="separate"/>
          </w:r>
          <w:hyperlink w:anchor="_Toc237526607" w:history="1">
            <w:r w:rsidR="009A1A2C" w:rsidRPr="00D21073">
              <w:rPr>
                <w:rStyle w:val="Hyperlink"/>
                <w:noProof/>
              </w:rPr>
              <w:t>Overview</w:t>
            </w:r>
            <w:r w:rsidR="009A1A2C">
              <w:rPr>
                <w:noProof/>
                <w:webHidden/>
              </w:rPr>
              <w:tab/>
            </w:r>
            <w:r w:rsidR="009A1A2C">
              <w:rPr>
                <w:noProof/>
                <w:webHidden/>
              </w:rPr>
              <w:fldChar w:fldCharType="begin"/>
            </w:r>
            <w:r w:rsidR="009A1A2C">
              <w:rPr>
                <w:noProof/>
                <w:webHidden/>
              </w:rPr>
              <w:instrText xml:space="preserve"> PAGEREF _Toc237526607 \h </w:instrText>
            </w:r>
            <w:r w:rsidR="009A1A2C">
              <w:rPr>
                <w:noProof/>
                <w:webHidden/>
              </w:rPr>
            </w:r>
            <w:r w:rsidR="009A1A2C">
              <w:rPr>
                <w:noProof/>
                <w:webHidden/>
              </w:rPr>
              <w:fldChar w:fldCharType="separate"/>
            </w:r>
            <w:r w:rsidR="009A1A2C">
              <w:rPr>
                <w:noProof/>
                <w:webHidden/>
              </w:rPr>
              <w:t>3</w:t>
            </w:r>
            <w:r w:rsidR="009A1A2C">
              <w:rPr>
                <w:noProof/>
                <w:webHidden/>
              </w:rPr>
              <w:fldChar w:fldCharType="end"/>
            </w:r>
          </w:hyperlink>
        </w:p>
        <w:p w14:paraId="022B6689" w14:textId="4E67AADD" w:rsidR="009A1A2C" w:rsidRDefault="009A1A2C">
          <w:pPr>
            <w:pStyle w:val="TOC1"/>
            <w:tabs>
              <w:tab w:val="right" w:leader="dot" w:pos="10194"/>
            </w:tabs>
            <w:rPr>
              <w:rFonts w:asciiTheme="minorHAnsi" w:hAnsiTheme="minorHAnsi"/>
              <w:b w:val="0"/>
              <w:noProof/>
              <w:color w:val="auto"/>
              <w:kern w:val="2"/>
              <w:szCs w:val="24"/>
              <w:lang w:eastAsia="en-AU"/>
              <w14:ligatures w14:val="standardContextual"/>
            </w:rPr>
          </w:pPr>
          <w:hyperlink w:anchor="_Toc237526608" w:history="1">
            <w:r w:rsidRPr="00D21073">
              <w:rPr>
                <w:rStyle w:val="Hyperlink"/>
                <w:noProof/>
              </w:rPr>
              <w:t>Digital exclusion creates barriers to scam prevention and support</w:t>
            </w:r>
            <w:r>
              <w:rPr>
                <w:noProof/>
                <w:webHidden/>
              </w:rPr>
              <w:tab/>
            </w:r>
            <w:r>
              <w:rPr>
                <w:noProof/>
                <w:webHidden/>
              </w:rPr>
              <w:fldChar w:fldCharType="begin"/>
            </w:r>
            <w:r>
              <w:rPr>
                <w:noProof/>
                <w:webHidden/>
              </w:rPr>
              <w:instrText xml:space="preserve"> PAGEREF _Toc237526608 \h </w:instrText>
            </w:r>
            <w:r>
              <w:rPr>
                <w:noProof/>
                <w:webHidden/>
              </w:rPr>
            </w:r>
            <w:r>
              <w:rPr>
                <w:noProof/>
                <w:webHidden/>
              </w:rPr>
              <w:fldChar w:fldCharType="separate"/>
            </w:r>
            <w:r>
              <w:rPr>
                <w:noProof/>
                <w:webHidden/>
              </w:rPr>
              <w:t>3</w:t>
            </w:r>
            <w:r>
              <w:rPr>
                <w:noProof/>
                <w:webHidden/>
              </w:rPr>
              <w:fldChar w:fldCharType="end"/>
            </w:r>
          </w:hyperlink>
        </w:p>
        <w:p w14:paraId="56095994" w14:textId="3ADA368A" w:rsidR="009A1A2C" w:rsidRDefault="009A1A2C">
          <w:pPr>
            <w:pStyle w:val="TOC1"/>
            <w:tabs>
              <w:tab w:val="right" w:leader="dot" w:pos="10194"/>
            </w:tabs>
            <w:rPr>
              <w:rFonts w:asciiTheme="minorHAnsi" w:hAnsiTheme="minorHAnsi"/>
              <w:b w:val="0"/>
              <w:noProof/>
              <w:color w:val="auto"/>
              <w:kern w:val="2"/>
              <w:szCs w:val="24"/>
              <w:lang w:eastAsia="en-AU"/>
              <w14:ligatures w14:val="standardContextual"/>
            </w:rPr>
          </w:pPr>
          <w:hyperlink w:anchor="_Toc237526609" w:history="1">
            <w:r w:rsidRPr="00D21073">
              <w:rPr>
                <w:rStyle w:val="Hyperlink"/>
                <w:noProof/>
              </w:rPr>
              <w:t>Branch closures and inaccessible scam-response systems</w:t>
            </w:r>
            <w:r>
              <w:rPr>
                <w:noProof/>
                <w:webHidden/>
              </w:rPr>
              <w:tab/>
            </w:r>
            <w:r>
              <w:rPr>
                <w:noProof/>
                <w:webHidden/>
              </w:rPr>
              <w:fldChar w:fldCharType="begin"/>
            </w:r>
            <w:r>
              <w:rPr>
                <w:noProof/>
                <w:webHidden/>
              </w:rPr>
              <w:instrText xml:space="preserve"> PAGEREF _Toc237526609 \h </w:instrText>
            </w:r>
            <w:r>
              <w:rPr>
                <w:noProof/>
                <w:webHidden/>
              </w:rPr>
            </w:r>
            <w:r>
              <w:rPr>
                <w:noProof/>
                <w:webHidden/>
              </w:rPr>
              <w:fldChar w:fldCharType="separate"/>
            </w:r>
            <w:r>
              <w:rPr>
                <w:noProof/>
                <w:webHidden/>
              </w:rPr>
              <w:t>4</w:t>
            </w:r>
            <w:r>
              <w:rPr>
                <w:noProof/>
                <w:webHidden/>
              </w:rPr>
              <w:fldChar w:fldCharType="end"/>
            </w:r>
          </w:hyperlink>
        </w:p>
        <w:p w14:paraId="3FBE6B5E" w14:textId="09A8129D" w:rsidR="009A1A2C" w:rsidRDefault="009A1A2C">
          <w:pPr>
            <w:pStyle w:val="TOC1"/>
            <w:tabs>
              <w:tab w:val="right" w:leader="dot" w:pos="10194"/>
            </w:tabs>
            <w:rPr>
              <w:rFonts w:asciiTheme="minorHAnsi" w:hAnsiTheme="minorHAnsi"/>
              <w:b w:val="0"/>
              <w:noProof/>
              <w:color w:val="auto"/>
              <w:kern w:val="2"/>
              <w:szCs w:val="24"/>
              <w:lang w:eastAsia="en-AU"/>
              <w14:ligatures w14:val="standardContextual"/>
            </w:rPr>
          </w:pPr>
          <w:hyperlink w:anchor="_Toc237526610" w:history="1">
            <w:r w:rsidRPr="00D21073">
              <w:rPr>
                <w:rStyle w:val="Hyperlink"/>
                <w:noProof/>
              </w:rPr>
              <w:t>Cultural practices must not be treated automatically as consumer misconduct</w:t>
            </w:r>
            <w:r>
              <w:rPr>
                <w:noProof/>
                <w:webHidden/>
              </w:rPr>
              <w:tab/>
            </w:r>
            <w:r>
              <w:rPr>
                <w:noProof/>
                <w:webHidden/>
              </w:rPr>
              <w:fldChar w:fldCharType="begin"/>
            </w:r>
            <w:r>
              <w:rPr>
                <w:noProof/>
                <w:webHidden/>
              </w:rPr>
              <w:instrText xml:space="preserve"> PAGEREF _Toc237526610 \h </w:instrText>
            </w:r>
            <w:r>
              <w:rPr>
                <w:noProof/>
                <w:webHidden/>
              </w:rPr>
            </w:r>
            <w:r>
              <w:rPr>
                <w:noProof/>
                <w:webHidden/>
              </w:rPr>
              <w:fldChar w:fldCharType="separate"/>
            </w:r>
            <w:r>
              <w:rPr>
                <w:noProof/>
                <w:webHidden/>
              </w:rPr>
              <w:t>4</w:t>
            </w:r>
            <w:r>
              <w:rPr>
                <w:noProof/>
                <w:webHidden/>
              </w:rPr>
              <w:fldChar w:fldCharType="end"/>
            </w:r>
          </w:hyperlink>
        </w:p>
        <w:p w14:paraId="0729D583" w14:textId="735BC246" w:rsidR="009A1A2C" w:rsidRDefault="009A1A2C">
          <w:pPr>
            <w:pStyle w:val="TOC1"/>
            <w:tabs>
              <w:tab w:val="right" w:leader="dot" w:pos="10194"/>
            </w:tabs>
            <w:rPr>
              <w:rFonts w:asciiTheme="minorHAnsi" w:hAnsiTheme="minorHAnsi"/>
              <w:b w:val="0"/>
              <w:noProof/>
              <w:color w:val="auto"/>
              <w:kern w:val="2"/>
              <w:szCs w:val="24"/>
              <w:lang w:eastAsia="en-AU"/>
              <w14:ligatures w14:val="standardContextual"/>
            </w:rPr>
          </w:pPr>
          <w:hyperlink w:anchor="_Toc237526611" w:history="1">
            <w:r w:rsidRPr="00D21073">
              <w:rPr>
                <w:rStyle w:val="Hyperlink"/>
                <w:noProof/>
              </w:rPr>
              <w:t>Financial and digital capability responses must be culturally safe</w:t>
            </w:r>
            <w:r>
              <w:rPr>
                <w:noProof/>
                <w:webHidden/>
              </w:rPr>
              <w:tab/>
            </w:r>
            <w:r>
              <w:rPr>
                <w:noProof/>
                <w:webHidden/>
              </w:rPr>
              <w:fldChar w:fldCharType="begin"/>
            </w:r>
            <w:r>
              <w:rPr>
                <w:noProof/>
                <w:webHidden/>
              </w:rPr>
              <w:instrText xml:space="preserve"> PAGEREF _Toc237526611 \h </w:instrText>
            </w:r>
            <w:r>
              <w:rPr>
                <w:noProof/>
                <w:webHidden/>
              </w:rPr>
            </w:r>
            <w:r>
              <w:rPr>
                <w:noProof/>
                <w:webHidden/>
              </w:rPr>
              <w:fldChar w:fldCharType="separate"/>
            </w:r>
            <w:r>
              <w:rPr>
                <w:noProof/>
                <w:webHidden/>
              </w:rPr>
              <w:t>4</w:t>
            </w:r>
            <w:r>
              <w:rPr>
                <w:noProof/>
                <w:webHidden/>
              </w:rPr>
              <w:fldChar w:fldCharType="end"/>
            </w:r>
          </w:hyperlink>
        </w:p>
        <w:p w14:paraId="6AF0A654" w14:textId="7A480439" w:rsidR="009A1A2C" w:rsidRDefault="009A1A2C">
          <w:pPr>
            <w:pStyle w:val="TOC1"/>
            <w:tabs>
              <w:tab w:val="right" w:leader="dot" w:pos="10194"/>
            </w:tabs>
            <w:rPr>
              <w:rFonts w:asciiTheme="minorHAnsi" w:hAnsiTheme="minorHAnsi"/>
              <w:b w:val="0"/>
              <w:noProof/>
              <w:color w:val="auto"/>
              <w:kern w:val="2"/>
              <w:szCs w:val="24"/>
              <w:lang w:eastAsia="en-AU"/>
              <w14:ligatures w14:val="standardContextual"/>
            </w:rPr>
          </w:pPr>
          <w:hyperlink w:anchor="_Toc237526612" w:history="1">
            <w:r w:rsidRPr="00D21073">
              <w:rPr>
                <w:rStyle w:val="Hyperlink"/>
                <w:noProof/>
              </w:rPr>
              <w:t>Cultural capability must be embedded in SPF training</w:t>
            </w:r>
            <w:r>
              <w:rPr>
                <w:noProof/>
                <w:webHidden/>
              </w:rPr>
              <w:tab/>
            </w:r>
            <w:r>
              <w:rPr>
                <w:noProof/>
                <w:webHidden/>
              </w:rPr>
              <w:fldChar w:fldCharType="begin"/>
            </w:r>
            <w:r>
              <w:rPr>
                <w:noProof/>
                <w:webHidden/>
              </w:rPr>
              <w:instrText xml:space="preserve"> PAGEREF _Toc237526612 \h </w:instrText>
            </w:r>
            <w:r>
              <w:rPr>
                <w:noProof/>
                <w:webHidden/>
              </w:rPr>
            </w:r>
            <w:r>
              <w:rPr>
                <w:noProof/>
                <w:webHidden/>
              </w:rPr>
              <w:fldChar w:fldCharType="separate"/>
            </w:r>
            <w:r>
              <w:rPr>
                <w:noProof/>
                <w:webHidden/>
              </w:rPr>
              <w:t>5</w:t>
            </w:r>
            <w:r>
              <w:rPr>
                <w:noProof/>
                <w:webHidden/>
              </w:rPr>
              <w:fldChar w:fldCharType="end"/>
            </w:r>
          </w:hyperlink>
        </w:p>
        <w:p w14:paraId="2D29D702" w14:textId="4B773F90" w:rsidR="009A1A2C" w:rsidRDefault="009A1A2C">
          <w:pPr>
            <w:pStyle w:val="TOC1"/>
            <w:tabs>
              <w:tab w:val="right" w:leader="dot" w:pos="10194"/>
            </w:tabs>
            <w:rPr>
              <w:rFonts w:asciiTheme="minorHAnsi" w:hAnsiTheme="minorHAnsi"/>
              <w:b w:val="0"/>
              <w:noProof/>
              <w:color w:val="auto"/>
              <w:kern w:val="2"/>
              <w:szCs w:val="24"/>
              <w:lang w:eastAsia="en-AU"/>
              <w14:ligatures w14:val="standardContextual"/>
            </w:rPr>
          </w:pPr>
          <w:hyperlink w:anchor="_Toc237526613" w:history="1">
            <w:r w:rsidRPr="00D21073">
              <w:rPr>
                <w:rStyle w:val="Hyperlink"/>
                <w:noProof/>
              </w:rPr>
              <w:t>Culturally safe reporting and response pathways are essential</w:t>
            </w:r>
            <w:r>
              <w:rPr>
                <w:noProof/>
                <w:webHidden/>
              </w:rPr>
              <w:tab/>
            </w:r>
            <w:r>
              <w:rPr>
                <w:noProof/>
                <w:webHidden/>
              </w:rPr>
              <w:fldChar w:fldCharType="begin"/>
            </w:r>
            <w:r>
              <w:rPr>
                <w:noProof/>
                <w:webHidden/>
              </w:rPr>
              <w:instrText xml:space="preserve"> PAGEREF _Toc237526613 \h </w:instrText>
            </w:r>
            <w:r>
              <w:rPr>
                <w:noProof/>
                <w:webHidden/>
              </w:rPr>
            </w:r>
            <w:r>
              <w:rPr>
                <w:noProof/>
                <w:webHidden/>
              </w:rPr>
              <w:fldChar w:fldCharType="separate"/>
            </w:r>
            <w:r>
              <w:rPr>
                <w:noProof/>
                <w:webHidden/>
              </w:rPr>
              <w:t>5</w:t>
            </w:r>
            <w:r>
              <w:rPr>
                <w:noProof/>
                <w:webHidden/>
              </w:rPr>
              <w:fldChar w:fldCharType="end"/>
            </w:r>
          </w:hyperlink>
        </w:p>
        <w:p w14:paraId="392A302F" w14:textId="610B944F" w:rsidR="009A1A2C" w:rsidRDefault="009A1A2C">
          <w:pPr>
            <w:pStyle w:val="TOC1"/>
            <w:tabs>
              <w:tab w:val="right" w:leader="dot" w:pos="10194"/>
            </w:tabs>
            <w:rPr>
              <w:rFonts w:asciiTheme="minorHAnsi" w:hAnsiTheme="minorHAnsi"/>
              <w:b w:val="0"/>
              <w:noProof/>
              <w:color w:val="auto"/>
              <w:kern w:val="2"/>
              <w:szCs w:val="24"/>
              <w:lang w:eastAsia="en-AU"/>
              <w14:ligatures w14:val="standardContextual"/>
            </w:rPr>
          </w:pPr>
          <w:hyperlink w:anchor="_Toc237526614" w:history="1">
            <w:r w:rsidRPr="00D21073">
              <w:rPr>
                <w:rStyle w:val="Hyperlink"/>
                <w:noProof/>
              </w:rPr>
              <w:t>Identity verification requirements must not deepen exclusion</w:t>
            </w:r>
            <w:r>
              <w:rPr>
                <w:noProof/>
                <w:webHidden/>
              </w:rPr>
              <w:tab/>
            </w:r>
            <w:r>
              <w:rPr>
                <w:noProof/>
                <w:webHidden/>
              </w:rPr>
              <w:fldChar w:fldCharType="begin"/>
            </w:r>
            <w:r>
              <w:rPr>
                <w:noProof/>
                <w:webHidden/>
              </w:rPr>
              <w:instrText xml:space="preserve"> PAGEREF _Toc237526614 \h </w:instrText>
            </w:r>
            <w:r>
              <w:rPr>
                <w:noProof/>
                <w:webHidden/>
              </w:rPr>
            </w:r>
            <w:r>
              <w:rPr>
                <w:noProof/>
                <w:webHidden/>
              </w:rPr>
              <w:fldChar w:fldCharType="separate"/>
            </w:r>
            <w:r>
              <w:rPr>
                <w:noProof/>
                <w:webHidden/>
              </w:rPr>
              <w:t>6</w:t>
            </w:r>
            <w:r>
              <w:rPr>
                <w:noProof/>
                <w:webHidden/>
              </w:rPr>
              <w:fldChar w:fldCharType="end"/>
            </w:r>
          </w:hyperlink>
        </w:p>
        <w:p w14:paraId="2287475A" w14:textId="4957EF80" w:rsidR="009A1A2C" w:rsidRDefault="009A1A2C">
          <w:pPr>
            <w:pStyle w:val="TOC1"/>
            <w:tabs>
              <w:tab w:val="right" w:leader="dot" w:pos="10194"/>
            </w:tabs>
            <w:rPr>
              <w:rFonts w:asciiTheme="minorHAnsi" w:hAnsiTheme="minorHAnsi"/>
              <w:b w:val="0"/>
              <w:noProof/>
              <w:color w:val="auto"/>
              <w:kern w:val="2"/>
              <w:szCs w:val="24"/>
              <w:lang w:eastAsia="en-AU"/>
              <w14:ligatures w14:val="standardContextual"/>
            </w:rPr>
          </w:pPr>
          <w:hyperlink w:anchor="_Toc237526615" w:history="1">
            <w:r w:rsidRPr="00D21073">
              <w:rPr>
                <w:rStyle w:val="Hyperlink"/>
                <w:noProof/>
              </w:rPr>
              <w:t>APPENDIX A - SUMMARY OF RECOMMENDATIONs</w:t>
            </w:r>
            <w:r>
              <w:rPr>
                <w:noProof/>
                <w:webHidden/>
              </w:rPr>
              <w:tab/>
            </w:r>
            <w:r>
              <w:rPr>
                <w:noProof/>
                <w:webHidden/>
              </w:rPr>
              <w:fldChar w:fldCharType="begin"/>
            </w:r>
            <w:r>
              <w:rPr>
                <w:noProof/>
                <w:webHidden/>
              </w:rPr>
              <w:instrText xml:space="preserve"> PAGEREF _Toc237526615 \h </w:instrText>
            </w:r>
            <w:r>
              <w:rPr>
                <w:noProof/>
                <w:webHidden/>
              </w:rPr>
            </w:r>
            <w:r>
              <w:rPr>
                <w:noProof/>
                <w:webHidden/>
              </w:rPr>
              <w:fldChar w:fldCharType="separate"/>
            </w:r>
            <w:r>
              <w:rPr>
                <w:noProof/>
                <w:webHidden/>
              </w:rPr>
              <w:t>7</w:t>
            </w:r>
            <w:r>
              <w:rPr>
                <w:noProof/>
                <w:webHidden/>
              </w:rPr>
              <w:fldChar w:fldCharType="end"/>
            </w:r>
          </w:hyperlink>
        </w:p>
        <w:p w14:paraId="45383A48" w14:textId="3AC91E17" w:rsidR="00B056C9" w:rsidRDefault="00B056C9">
          <w:r>
            <w:rPr>
              <w:b/>
              <w:bCs/>
              <w:noProof/>
            </w:rPr>
            <w:fldChar w:fldCharType="end"/>
          </w:r>
        </w:p>
      </w:sdtContent>
    </w:sdt>
    <w:p w14:paraId="008070D0" w14:textId="77777777" w:rsidR="0066176A" w:rsidRDefault="0066176A" w:rsidP="00A2313C">
      <w:pPr>
        <w:pStyle w:val="Heading1"/>
      </w:pPr>
    </w:p>
    <w:p w14:paraId="44B18388" w14:textId="77777777" w:rsidR="00CF6B1E" w:rsidRPr="00CF6B1E" w:rsidRDefault="00CF6B1E" w:rsidP="00CF6B1E"/>
    <w:p w14:paraId="1CF3843A" w14:textId="77777777" w:rsidR="00CF6B1E" w:rsidRPr="00CF6B1E" w:rsidRDefault="00CF6B1E" w:rsidP="00CF6B1E"/>
    <w:p w14:paraId="221D39BA" w14:textId="77777777" w:rsidR="00CF6B1E" w:rsidRPr="00CF6B1E" w:rsidRDefault="00CF6B1E" w:rsidP="00CF6B1E"/>
    <w:p w14:paraId="64200973" w14:textId="77777777" w:rsidR="00CF6B1E" w:rsidRPr="00CF6B1E" w:rsidRDefault="00CF6B1E" w:rsidP="00CF6B1E"/>
    <w:p w14:paraId="686940A5" w14:textId="77777777" w:rsidR="00CF6B1E" w:rsidRPr="00CF6B1E" w:rsidRDefault="00CF6B1E" w:rsidP="00CF6B1E"/>
    <w:p w14:paraId="7C833A6F" w14:textId="77777777" w:rsidR="00CF6B1E" w:rsidRPr="00CF6B1E" w:rsidRDefault="00CF6B1E" w:rsidP="00CF6B1E"/>
    <w:p w14:paraId="45A6128C" w14:textId="77777777" w:rsidR="00CF6B1E" w:rsidRPr="00CF6B1E" w:rsidRDefault="00CF6B1E" w:rsidP="00CF6B1E"/>
    <w:p w14:paraId="3324FB62" w14:textId="77777777" w:rsidR="00CF6B1E" w:rsidRPr="00CF6B1E" w:rsidRDefault="00CF6B1E" w:rsidP="00CF6B1E"/>
    <w:p w14:paraId="43E982F0" w14:textId="77777777" w:rsidR="00CF6B1E" w:rsidRPr="00CF6B1E" w:rsidRDefault="00CF6B1E" w:rsidP="00CF6B1E"/>
    <w:p w14:paraId="72DB5DC9" w14:textId="77777777" w:rsidR="00CF6B1E" w:rsidRPr="00CF6B1E" w:rsidRDefault="00CF6B1E" w:rsidP="00CF6B1E"/>
    <w:p w14:paraId="6497EBF4" w14:textId="77777777" w:rsidR="00CF6B1E" w:rsidRPr="00CF6B1E" w:rsidRDefault="00CF6B1E" w:rsidP="00CF6B1E"/>
    <w:p w14:paraId="4CE28AD8" w14:textId="77777777" w:rsidR="00CF6B1E" w:rsidRPr="00CF6B1E" w:rsidRDefault="00CF6B1E" w:rsidP="00CF6B1E"/>
    <w:p w14:paraId="246A81CD" w14:textId="77777777" w:rsidR="00716DD7" w:rsidRDefault="00716DD7" w:rsidP="00716DD7">
      <w:pPr>
        <w:rPr>
          <w:b/>
          <w:bCs/>
        </w:rPr>
      </w:pPr>
    </w:p>
    <w:p w14:paraId="6505B4D1" w14:textId="77777777" w:rsidR="00716DD7" w:rsidRDefault="00716DD7" w:rsidP="00716DD7">
      <w:pPr>
        <w:rPr>
          <w:b/>
          <w:bCs/>
        </w:rPr>
      </w:pPr>
    </w:p>
    <w:p w14:paraId="012B1A82" w14:textId="5E44E544" w:rsidR="00CF6B1E" w:rsidRPr="00716DD7" w:rsidRDefault="00CF6B1E" w:rsidP="00716DD7">
      <w:pPr>
        <w:rPr>
          <w:b/>
          <w:bCs/>
        </w:rPr>
      </w:pPr>
      <w:r w:rsidRPr="00716DD7">
        <w:rPr>
          <w:b/>
          <w:bCs/>
        </w:rPr>
        <w:t>About Consumer Action</w:t>
      </w:r>
      <w:r w:rsidR="00716DD7">
        <w:rPr>
          <w:b/>
          <w:bCs/>
        </w:rPr>
        <w:t xml:space="preserve"> Law Centre</w:t>
      </w:r>
    </w:p>
    <w:p w14:paraId="6DA4ACB0" w14:textId="162D281E" w:rsidR="00CF6B1E" w:rsidRDefault="00CF6B1E" w:rsidP="00CF6B1E">
      <w:r>
        <w:t xml:space="preserve">Consumer Action </w:t>
      </w:r>
      <w:r w:rsidR="00237BA9">
        <w:t xml:space="preserve">Law Centre </w:t>
      </w:r>
      <w:r>
        <w:t>is an independent, not-for profit consumer organisation with deep expertise in consumer and consumer credit laws, policy and direct knowledge of people's experience of modern markets. We work for a just marketplace, where people have power and business plays fair. We make life easier for people experiencing vulnerability and disadvantage in Australia, through financial counselling, legal advice, legal representation, policy work and campaigns. Based in Melbourne, our direct services assist Victorians and our advocacy supports a just marketplace for all Australians.</w:t>
      </w:r>
    </w:p>
    <w:p w14:paraId="1920C762" w14:textId="77777777" w:rsidR="00CF6B1E" w:rsidRPr="00CF6B1E" w:rsidRDefault="00CF6B1E" w:rsidP="00CF6B1E">
      <w:pPr>
        <w:sectPr w:rsidR="00CF6B1E" w:rsidRPr="00CF6B1E" w:rsidSect="0053043A">
          <w:headerReference w:type="default" r:id="rId11"/>
          <w:footerReference w:type="even" r:id="rId12"/>
          <w:footerReference w:type="default" r:id="rId13"/>
          <w:headerReference w:type="first" r:id="rId14"/>
          <w:pgSz w:w="11906" w:h="16838"/>
          <w:pgMar w:top="1134" w:right="851" w:bottom="1134" w:left="851" w:header="709" w:footer="397" w:gutter="0"/>
          <w:cols w:space="708"/>
          <w:titlePg/>
          <w:docGrid w:linePitch="360"/>
        </w:sectPr>
      </w:pPr>
    </w:p>
    <w:p w14:paraId="198DAB4F" w14:textId="06161851" w:rsidR="00A2313C" w:rsidRDefault="00403BA1" w:rsidP="00A2313C">
      <w:pPr>
        <w:pStyle w:val="Heading1"/>
      </w:pPr>
      <w:bookmarkStart w:id="0" w:name="_Toc14948047"/>
      <w:bookmarkStart w:id="1" w:name="_Toc14948445"/>
      <w:bookmarkStart w:id="2" w:name="_Toc237526607"/>
      <w:r>
        <w:lastRenderedPageBreak/>
        <w:t>Overview</w:t>
      </w:r>
      <w:bookmarkEnd w:id="2"/>
      <w:r>
        <w:t xml:space="preserve"> </w:t>
      </w:r>
      <w:bookmarkEnd w:id="0"/>
      <w:bookmarkEnd w:id="1"/>
    </w:p>
    <w:p w14:paraId="2346375E" w14:textId="1A29D544" w:rsidR="00403BA1" w:rsidRDefault="00730F23" w:rsidP="00403BA1">
      <w:r>
        <w:t xml:space="preserve">The SPF </w:t>
      </w:r>
      <w:r w:rsidR="00794DAA">
        <w:t>must recognise that First Nations consumers can experience scam harm differently because of geographical, digital, financial, cultural and ser</w:t>
      </w:r>
      <w:r w:rsidR="00C85F17">
        <w:t xml:space="preserve">vice-access barriers. These differences do not arise from any inherent vulnerability of First Nations people. They instead reflect </w:t>
      </w:r>
      <w:r w:rsidR="00187055">
        <w:t xml:space="preserve">structural exclusion, the design of mainstream financial and digital systems and the failure of many service providers to deliver culturally safe and accessible support. </w:t>
      </w:r>
    </w:p>
    <w:p w14:paraId="339A41C0" w14:textId="349B8AF9" w:rsidR="00187055" w:rsidRDefault="00187055" w:rsidP="00403BA1">
      <w:r>
        <w:t xml:space="preserve">Evidence points to disproportionate harm. In the first half of 2025, Scamwatch recorded a 55.3 per cent increase in reports involving </w:t>
      </w:r>
      <w:r w:rsidR="004C26E5">
        <w:t>financial loss from First Nations consumers compared with the same period in 202</w:t>
      </w:r>
      <w:r w:rsidR="00E17188">
        <w:t>4.</w:t>
      </w:r>
      <w:r w:rsidR="003968E9">
        <w:rPr>
          <w:rStyle w:val="FootnoteReference"/>
        </w:rPr>
        <w:footnoteReference w:id="1"/>
      </w:r>
      <w:r w:rsidR="00682B0E">
        <w:t xml:space="preserve"> Scamwatch data</w:t>
      </w:r>
      <w:r w:rsidR="001308A0">
        <w:t xml:space="preserve"> from</w:t>
      </w:r>
      <w:r w:rsidR="00682B0E">
        <w:t xml:space="preserve"> </w:t>
      </w:r>
      <w:r w:rsidR="001308A0">
        <w:t xml:space="preserve">2021 recorded 4,958 reports and $4.8 million in losses from Indigenous Australians, </w:t>
      </w:r>
      <w:r w:rsidR="000A57F7">
        <w:t>representing a 142 per cent increase in reported losses from 2020.</w:t>
      </w:r>
      <w:r w:rsidR="000A57F7">
        <w:rPr>
          <w:rStyle w:val="FootnoteReference"/>
        </w:rPr>
        <w:footnoteReference w:id="2"/>
      </w:r>
      <w:r w:rsidR="00297663">
        <w:t xml:space="preserve"> However, the reported figures are likely to understate the scale of harm because many consumers do not report scams or reach external dispute resolution.</w:t>
      </w:r>
      <w:r w:rsidR="00297663">
        <w:rPr>
          <w:rStyle w:val="FootnoteReference"/>
        </w:rPr>
        <w:footnoteReference w:id="3"/>
      </w:r>
    </w:p>
    <w:p w14:paraId="37489B91" w14:textId="29EBD085" w:rsidR="004D4CED" w:rsidRDefault="004D4CED" w:rsidP="00403BA1">
      <w:r>
        <w:t xml:space="preserve">Recent data also shows </w:t>
      </w:r>
      <w:r w:rsidR="00F21FBB">
        <w:t xml:space="preserve">that some scam types disproportionately affect First Nations communities. For example, Scamwatch data indicates that more than 45 per cent </w:t>
      </w:r>
      <w:r w:rsidR="00DA0F3C">
        <w:t>of reported losses to "scambling" in 2025 came from consumers who self-identified as First Nations.</w:t>
      </w:r>
      <w:r w:rsidR="00C72D13">
        <w:rPr>
          <w:rStyle w:val="FootnoteReference"/>
        </w:rPr>
        <w:footnoteReference w:id="4"/>
      </w:r>
      <w:r w:rsidR="00DA0F3C">
        <w:t xml:space="preserve"> </w:t>
      </w:r>
      <w:r w:rsidR="00F56335">
        <w:t xml:space="preserve">This reinforces the </w:t>
      </w:r>
      <w:r w:rsidR="009803BA">
        <w:t xml:space="preserve">need for the SPF to support targeted, community-led responses as scam methods evolve. </w:t>
      </w:r>
    </w:p>
    <w:p w14:paraId="12628FFF" w14:textId="23F396AC" w:rsidR="009803BA" w:rsidRDefault="009803BA" w:rsidP="00403BA1">
      <w:r>
        <w:t xml:space="preserve">The SPF codes should include specific, enforceable obligations to ensure bank, telecommunications providers and digital platforms </w:t>
      </w:r>
      <w:r w:rsidR="00807737">
        <w:t xml:space="preserve">consider the circumstances of First Nations consumers when preventing scams and providing assistance after scam harm occurs. </w:t>
      </w:r>
    </w:p>
    <w:p w14:paraId="18F275A4" w14:textId="77777777" w:rsidR="00662787" w:rsidRDefault="00662787" w:rsidP="00662787">
      <w:pPr>
        <w:pStyle w:val="Heading1"/>
      </w:pPr>
      <w:bookmarkStart w:id="3" w:name="_Toc237526608"/>
      <w:r>
        <w:t>Digital exclusion creates barriers to scam prevention and support</w:t>
      </w:r>
      <w:bookmarkEnd w:id="3"/>
    </w:p>
    <w:p w14:paraId="023BCFA6" w14:textId="7B846E5A" w:rsidR="002056B7" w:rsidRDefault="002056B7" w:rsidP="002056B7">
      <w:r>
        <w:t xml:space="preserve">First Nations consumers are not a homogenous group. </w:t>
      </w:r>
      <w:r w:rsidR="002C6F38">
        <w:t xml:space="preserve">Experiences vary between urban, regional, remote and very remote communities and are affected by factors </w:t>
      </w:r>
      <w:r w:rsidR="00CB231A">
        <w:t xml:space="preserve">including income, disability, age, language, education, housing and access to services. </w:t>
      </w:r>
    </w:p>
    <w:p w14:paraId="6B591017" w14:textId="6A14DB36" w:rsidR="005E1A2A" w:rsidRDefault="005E1A2A" w:rsidP="005E1A2A">
      <w:r>
        <w:t xml:space="preserve">Digital exclusion is a </w:t>
      </w:r>
      <w:r w:rsidR="003B0AA4">
        <w:t>significant concern. First Nations consumers are twice as likely as other consumers to experience digital exclusion, while</w:t>
      </w:r>
      <w:r w:rsidR="00562FCB">
        <w:t xml:space="preserve"> </w:t>
      </w:r>
      <w:r w:rsidR="0008117D">
        <w:t xml:space="preserve">three in four First Nations </w:t>
      </w:r>
      <w:r w:rsidR="00B55D6E">
        <w:t>people living in remote and very remote communities are digitally excluded.</w:t>
      </w:r>
      <w:r w:rsidR="002454E3">
        <w:rPr>
          <w:rStyle w:val="FootnoteReference"/>
        </w:rPr>
        <w:footnoteReference w:id="5"/>
      </w:r>
      <w:r w:rsidR="00B55D6E">
        <w:t xml:space="preserve"> </w:t>
      </w:r>
      <w:r w:rsidR="00E8782A">
        <w:t xml:space="preserve">Limited connectivity, device access, affordability and digital support </w:t>
      </w:r>
      <w:r w:rsidR="00313F0D">
        <w:t xml:space="preserve">can restrict people's ability to receive scam warnings, access online banking, report scams, secure compromised accounts or participate in </w:t>
      </w:r>
      <w:r w:rsidR="00A4504D">
        <w:t>digital complaint processes.</w:t>
      </w:r>
    </w:p>
    <w:p w14:paraId="26BC2A12" w14:textId="701F754F" w:rsidR="00471F24" w:rsidRDefault="008073B0" w:rsidP="005E1A2A">
      <w:r>
        <w:t>These barriers are particularly imp</w:t>
      </w:r>
      <w:r w:rsidR="006055C6">
        <w:t xml:space="preserve">ortant because banking, telecommunications, government and complaint services increasingly </w:t>
      </w:r>
      <w:r w:rsidR="0064647B">
        <w:t>operate online. A consumer experiencing unreliable mobile coverage may be unable to contact their bank quickly</w:t>
      </w:r>
      <w:r w:rsidR="001A2DE4">
        <w:t xml:space="preserve">, receive authentication messages, report a scam or respond to a fraud alert. Automated systems may also overlook language </w:t>
      </w:r>
      <w:r w:rsidR="005044AD">
        <w:t xml:space="preserve">barriers, digital exclusion, financial hardship, disability or financial abuse. </w:t>
      </w:r>
      <w:r w:rsidR="0068111C">
        <w:t xml:space="preserve">The Australian Financial Complaints Authority (AFCA) </w:t>
      </w:r>
      <w:r w:rsidR="00EE18BC">
        <w:t>has warned that branch closures, unreliable connectivity and limited cultural understanding continue to create barriers for First Nations consumers, particularly in regional and remote communities.</w:t>
      </w:r>
      <w:r w:rsidR="00EE18BC">
        <w:rPr>
          <w:rStyle w:val="FootnoteReference"/>
        </w:rPr>
        <w:footnoteReference w:id="6"/>
      </w:r>
    </w:p>
    <w:p w14:paraId="609E9C74" w14:textId="77777777" w:rsidR="008C4098" w:rsidRDefault="000A6F69" w:rsidP="000A6F69">
      <w:pPr>
        <w:pStyle w:val="RECOMMENDATIONS"/>
      </w:pPr>
      <w:r>
        <w:t xml:space="preserve"> </w:t>
      </w:r>
      <w:bookmarkStart w:id="4" w:name="_Toc237342517"/>
      <w:bookmarkStart w:id="5" w:name="_Toc237342553"/>
      <w:bookmarkStart w:id="6" w:name="_Toc237342565"/>
      <w:bookmarkStart w:id="7" w:name="_Toc237342742"/>
      <w:bookmarkStart w:id="8" w:name="_Toc237525230"/>
      <w:r w:rsidR="001A7507">
        <w:t xml:space="preserve">Require </w:t>
      </w:r>
      <w:r w:rsidR="008A0B3F">
        <w:t>regulated entities to co-design accessible and culturally safe scam reporting and support channels with First Nations communities</w:t>
      </w:r>
      <w:r w:rsidR="007845B4">
        <w:t>, including</w:t>
      </w:r>
      <w:r w:rsidR="00440EEB">
        <w:t xml:space="preserve"> non-digital </w:t>
      </w:r>
      <w:r w:rsidR="008C4098">
        <w:t>options, interpreter services and trusted representative arrangements.</w:t>
      </w:r>
      <w:bookmarkEnd w:id="8"/>
    </w:p>
    <w:p w14:paraId="7CCD6B77" w14:textId="21851B3E" w:rsidR="000A6F69" w:rsidRDefault="008C4098" w:rsidP="000A6F69">
      <w:pPr>
        <w:pStyle w:val="RECOMMENDATIONS"/>
      </w:pPr>
      <w:bookmarkStart w:id="9" w:name="_Toc237525231"/>
      <w:r>
        <w:lastRenderedPageBreak/>
        <w:t>Government</w:t>
      </w:r>
      <w:r w:rsidR="0097095F">
        <w:t xml:space="preserve">, together with industry, </w:t>
      </w:r>
      <w:r w:rsidR="001B5D00">
        <w:t xml:space="preserve">should fund First Nations </w:t>
      </w:r>
      <w:r w:rsidR="00D8789E">
        <w:t xml:space="preserve">financial </w:t>
      </w:r>
      <w:r w:rsidR="003248C9">
        <w:t>counsellors, legal services and Aboriginal Community-Controlled Organisations (ACCO)</w:t>
      </w:r>
      <w:r w:rsidR="001C3C0A">
        <w:t xml:space="preserve"> to provide</w:t>
      </w:r>
      <w:r w:rsidR="007416F1">
        <w:t xml:space="preserve"> rapid</w:t>
      </w:r>
      <w:r w:rsidR="00B66B19">
        <w:t>, culturally safe assistance to scam victims</w:t>
      </w:r>
      <w:r w:rsidR="00DB464B">
        <w:t>.</w:t>
      </w:r>
      <w:bookmarkEnd w:id="4"/>
      <w:bookmarkEnd w:id="5"/>
      <w:bookmarkEnd w:id="6"/>
      <w:bookmarkEnd w:id="7"/>
      <w:bookmarkEnd w:id="9"/>
      <w:r w:rsidR="00DB464B">
        <w:t xml:space="preserve"> </w:t>
      </w:r>
    </w:p>
    <w:p w14:paraId="3E057C8A" w14:textId="34BEC1D2" w:rsidR="004D4CED" w:rsidRDefault="00F53A88" w:rsidP="004F30F3">
      <w:pPr>
        <w:pStyle w:val="Heading1"/>
      </w:pPr>
      <w:bookmarkStart w:id="10" w:name="_Toc237526609"/>
      <w:r>
        <w:t>Branch closures and inaccessible scam-response systems</w:t>
      </w:r>
      <w:bookmarkEnd w:id="10"/>
    </w:p>
    <w:p w14:paraId="4B243BF6" w14:textId="19F6AD76" w:rsidR="00F53A88" w:rsidRPr="00F53A88" w:rsidRDefault="00F53A88" w:rsidP="00F53A88">
      <w:r>
        <w:t xml:space="preserve">The loss </w:t>
      </w:r>
      <w:r w:rsidR="00CA64D6">
        <w:t xml:space="preserve">of bank branches and face-to-face services can have serious consequences in a scam context. A consumer in a remote community may need to travel significant distances to verify their identity, restore access to an account or speak to someone about suspicious activity. </w:t>
      </w:r>
      <w:r w:rsidR="004E6A18">
        <w:t>Cases reported through remote banking programs include consumers travelling several hours to complete identity check</w:t>
      </w:r>
      <w:r w:rsidR="00764CAC">
        <w:t>s</w:t>
      </w:r>
      <w:r w:rsidR="004E6A18">
        <w:t>, being unable to access accounts after failing standard identification questions and being</w:t>
      </w:r>
      <w:r w:rsidR="00370E81">
        <w:t xml:space="preserve"> unable to adjust account security settings.</w:t>
      </w:r>
      <w:r w:rsidR="000B5867">
        <w:rPr>
          <w:rStyle w:val="FootnoteReference"/>
        </w:rPr>
        <w:footnoteReference w:id="7"/>
      </w:r>
      <w:r w:rsidR="00370E81">
        <w:t xml:space="preserve"> </w:t>
      </w:r>
    </w:p>
    <w:p w14:paraId="239C95A5" w14:textId="5E6567EF" w:rsidR="004D4CED" w:rsidRDefault="00236CDC" w:rsidP="00403BA1">
      <w:r>
        <w:t xml:space="preserve">While speed is critical when responding to scams, the SPF currently assumes that </w:t>
      </w:r>
      <w:r w:rsidR="006C3255">
        <w:t xml:space="preserve">all consumers can readily access digital or telephone support. That assumption will not </w:t>
      </w:r>
      <w:r w:rsidR="004B2405">
        <w:t xml:space="preserve">hold for consumers who have limited connectivity, </w:t>
      </w:r>
      <w:r w:rsidR="00581520">
        <w:t xml:space="preserve">limited access to devices or no nearby branch. </w:t>
      </w:r>
      <w:r w:rsidR="00F24E2B">
        <w:t xml:space="preserve">A requirement to provide a </w:t>
      </w:r>
      <w:r w:rsidR="00DC0F7E">
        <w:t>24-hour</w:t>
      </w:r>
      <w:r w:rsidR="00F24E2B">
        <w:t xml:space="preserve"> reporting mechanism</w:t>
      </w:r>
      <w:r w:rsidR="003543D1">
        <w:t xml:space="preserve"> as per s</w:t>
      </w:r>
      <w:r w:rsidR="00CC2FA9">
        <w:t>ection</w:t>
      </w:r>
      <w:r w:rsidR="003543D1">
        <w:t xml:space="preserve"> 2-18</w:t>
      </w:r>
      <w:r w:rsidR="00CC2FA9">
        <w:t>(1)(d) of the common SPF code</w:t>
      </w:r>
      <w:r w:rsidR="00230FBF">
        <w:t xml:space="preserve"> provisions</w:t>
      </w:r>
      <w:r w:rsidR="003543D1">
        <w:t xml:space="preserve"> </w:t>
      </w:r>
      <w:r w:rsidR="001D2BCA">
        <w:t xml:space="preserve">will not work in practice </w:t>
      </w:r>
      <w:r w:rsidR="00AA0BFE">
        <w:t xml:space="preserve">for First Nations consumers if the mechanism is automated, difficult to </w:t>
      </w:r>
      <w:r w:rsidR="00C56955">
        <w:t xml:space="preserve">navigate, dependant on reliable connectivity or unable to accommodate language and accessibility needs. </w:t>
      </w:r>
    </w:p>
    <w:p w14:paraId="0F9261D6" w14:textId="3999C370" w:rsidR="00502F81" w:rsidRDefault="00502F81" w:rsidP="00502F81">
      <w:pPr>
        <w:pStyle w:val="RECOMMENDATIONS"/>
      </w:pPr>
      <w:bookmarkStart w:id="11" w:name="_Toc237342518"/>
      <w:bookmarkStart w:id="12" w:name="_Toc237342554"/>
      <w:bookmarkStart w:id="13" w:name="_Toc237342566"/>
      <w:bookmarkStart w:id="14" w:name="_Toc237342743"/>
      <w:bookmarkStart w:id="15" w:name="_Toc237525232"/>
      <w:r>
        <w:t>The codes should require regulated entities to maintain culturally safe and accessible al</w:t>
      </w:r>
      <w:r w:rsidR="008D5952">
        <w:t>ternatives to digital self-service. This should include dedicated First Nations customer support, access to trained staff, interpreter services, assisted complaint pathways and arrangements for face-to-face or community-based support where digital engagement is not readily available.</w:t>
      </w:r>
      <w:bookmarkEnd w:id="11"/>
      <w:bookmarkEnd w:id="12"/>
      <w:bookmarkEnd w:id="13"/>
      <w:bookmarkEnd w:id="14"/>
      <w:bookmarkEnd w:id="15"/>
      <w:r w:rsidR="008D5952">
        <w:t xml:space="preserve"> </w:t>
      </w:r>
    </w:p>
    <w:p w14:paraId="38D68A88" w14:textId="4708FFAD" w:rsidR="00F97A01" w:rsidRDefault="00F97A01" w:rsidP="004F30F3">
      <w:pPr>
        <w:pStyle w:val="Heading1"/>
      </w:pPr>
      <w:bookmarkStart w:id="16" w:name="_Toc237526610"/>
      <w:r>
        <w:t>Cultural practices must not be treated automatically as consumer misconduct</w:t>
      </w:r>
      <w:bookmarkEnd w:id="16"/>
    </w:p>
    <w:p w14:paraId="624B1542" w14:textId="2983AEA2" w:rsidR="00F97A01" w:rsidRPr="00F97A01" w:rsidRDefault="003D20C8" w:rsidP="00F97A01">
      <w:r>
        <w:t>The SPF must also recognise that mainstream banking assumptions may not reflect the way</w:t>
      </w:r>
      <w:r w:rsidR="00AA5B0D">
        <w:t xml:space="preserve">s resources are shared within some First Nations families and communities. Cultural and kinship obligations can involve collective approaches to money, reciprocal support and sharing resources </w:t>
      </w:r>
      <w:r w:rsidR="002548DA">
        <w:t>across extended family or community networks.</w:t>
      </w:r>
      <w:r w:rsidR="00C04147">
        <w:rPr>
          <w:rStyle w:val="FootnoteReference"/>
        </w:rPr>
        <w:footnoteReference w:id="8"/>
      </w:r>
      <w:r w:rsidR="002548DA">
        <w:t xml:space="preserve"> </w:t>
      </w:r>
      <w:r w:rsidR="001B562E">
        <w:t xml:space="preserve">First Nations-led research has highlighted the need for institutions to understand </w:t>
      </w:r>
      <w:r w:rsidR="008A11AD">
        <w:t>these social and economic systems and to distinguish legitimate cultural sharing from coercion, exploitation and financial abuse</w:t>
      </w:r>
      <w:r w:rsidR="00FD402D">
        <w:t>.</w:t>
      </w:r>
      <w:r w:rsidR="00FD402D">
        <w:rPr>
          <w:rStyle w:val="FootnoteReference"/>
        </w:rPr>
        <w:footnoteReference w:id="9"/>
      </w:r>
    </w:p>
    <w:p w14:paraId="18A7232C" w14:textId="3B3DC5C9" w:rsidR="004D4CED" w:rsidRDefault="009751DE" w:rsidP="00403BA1">
      <w:r>
        <w:t xml:space="preserve">Practices such as </w:t>
      </w:r>
      <w:r w:rsidR="005361A5">
        <w:t>sharing a bank card, PIN, device or account access may occur in some circumstances because a trusted family</w:t>
      </w:r>
      <w:r w:rsidR="007B6408">
        <w:t xml:space="preserve"> or community</w:t>
      </w:r>
      <w:r w:rsidR="005361A5">
        <w:t xml:space="preserve"> member </w:t>
      </w:r>
      <w:r w:rsidR="007B6408">
        <w:t>assists with shopping, banking, language, transport or navigating digital services. These prac</w:t>
      </w:r>
      <w:r w:rsidR="005160FF">
        <w:t xml:space="preserve">tices can create security risks, but they should not automatically be characterised as negligence, fraud or a reason to </w:t>
      </w:r>
      <w:r w:rsidR="00EE4935">
        <w:t>deny remedy and compensation. Australia's financial system is largely designed around individual account control and may struggle to</w:t>
      </w:r>
      <w:r w:rsidR="001A0F8B">
        <w:t xml:space="preserve"> accommodate trusted assistance and collective approaches to resource sharing. </w:t>
      </w:r>
    </w:p>
    <w:p w14:paraId="099DC6E3" w14:textId="21DE4E9C" w:rsidR="009F6E37" w:rsidRPr="00235533" w:rsidRDefault="009F6E37" w:rsidP="00235533">
      <w:pPr>
        <w:pStyle w:val="RECOMMENDATIONS"/>
      </w:pPr>
      <w:bookmarkStart w:id="17" w:name="_Toc237342519"/>
      <w:bookmarkStart w:id="18" w:name="_Toc237342555"/>
      <w:bookmarkStart w:id="19" w:name="_Toc237342567"/>
      <w:bookmarkStart w:id="20" w:name="_Toc237342744"/>
      <w:bookmarkStart w:id="21" w:name="_Toc237525233"/>
      <w:r w:rsidRPr="00235533">
        <w:t>Banks should be required to investigate the full cultural a</w:t>
      </w:r>
      <w:r w:rsidR="000D2FBE">
        <w:t xml:space="preserve">nd practical </w:t>
      </w:r>
      <w:r w:rsidRPr="00235533">
        <w:t>context before relying on ca</w:t>
      </w:r>
      <w:r w:rsidR="00CF4B13" w:rsidRPr="00235533">
        <w:t xml:space="preserve">rd, PIN or credential sharing to reject a claim. They should also provide safer alternatives, such as </w:t>
      </w:r>
      <w:r w:rsidR="00046B21" w:rsidRPr="00235533">
        <w:t>culturally accessible account controls.</w:t>
      </w:r>
      <w:bookmarkEnd w:id="17"/>
      <w:bookmarkEnd w:id="18"/>
      <w:bookmarkEnd w:id="19"/>
      <w:bookmarkEnd w:id="20"/>
      <w:bookmarkEnd w:id="21"/>
      <w:r w:rsidR="00046B21" w:rsidRPr="00235533">
        <w:t xml:space="preserve"> </w:t>
      </w:r>
    </w:p>
    <w:p w14:paraId="39C79BEC" w14:textId="1486E5D0" w:rsidR="00E15DD7" w:rsidRDefault="00E15DD7" w:rsidP="00E15DD7">
      <w:pPr>
        <w:pStyle w:val="Heading1"/>
      </w:pPr>
      <w:bookmarkStart w:id="22" w:name="_Toc237526611"/>
      <w:r>
        <w:t>Financial and digital capability responses must be culturally safe</w:t>
      </w:r>
      <w:bookmarkEnd w:id="22"/>
    </w:p>
    <w:p w14:paraId="0E5DB26F" w14:textId="0CD4FD1A" w:rsidR="00E15DD7" w:rsidRDefault="00741649" w:rsidP="00E15DD7">
      <w:r>
        <w:t xml:space="preserve">Lower levels of financial or digital capability should not be used to shift responsibility for scam prevention onto First Nations consumers. </w:t>
      </w:r>
      <w:r w:rsidR="005577E9">
        <w:t xml:space="preserve">Financial capability is shaped by access to appropriate services, historical exclusion, education, income, language and </w:t>
      </w:r>
      <w:r w:rsidR="00043E23">
        <w:t xml:space="preserve">whether information is provided in a culturally relevant form. </w:t>
      </w:r>
      <w:r w:rsidR="00FE21C6">
        <w:t xml:space="preserve">ABA member </w:t>
      </w:r>
      <w:r w:rsidR="00FE21C6">
        <w:lastRenderedPageBreak/>
        <w:t>banks</w:t>
      </w:r>
      <w:r w:rsidR="00043E23">
        <w:t xml:space="preserve"> </w:t>
      </w:r>
      <w:r w:rsidR="006B4264">
        <w:t xml:space="preserve">explicitly </w:t>
      </w:r>
      <w:r w:rsidR="00043E23">
        <w:t>recognise that First Nations consumers, including people in remote locations, can experience increased vulnerability and barriers to accessing banking services.</w:t>
      </w:r>
      <w:r w:rsidR="000D664D">
        <w:rPr>
          <w:rStyle w:val="FootnoteReference"/>
        </w:rPr>
        <w:footnoteReference w:id="10"/>
      </w:r>
    </w:p>
    <w:p w14:paraId="202C0E4B" w14:textId="0E53E745" w:rsidR="000D3F1F" w:rsidRDefault="006332B0" w:rsidP="00E15DD7">
      <w:r>
        <w:t xml:space="preserve">Consumer awareness campaigns alone will not be </w:t>
      </w:r>
      <w:r w:rsidR="00F05C92">
        <w:t xml:space="preserve">sufficient. </w:t>
      </w:r>
      <w:r w:rsidR="000D3F1F">
        <w:t>Scamwatch's First Nations resources and community-focused material are a useful starting point, but these initiatives should complement, not replace, strong prevention obligations on regulated entities.</w:t>
      </w:r>
      <w:r w:rsidR="000D3F1F">
        <w:rPr>
          <w:rStyle w:val="FootnoteReference"/>
        </w:rPr>
        <w:footnoteReference w:id="11"/>
      </w:r>
      <w:r w:rsidR="000D3F1F">
        <w:t xml:space="preserve"> </w:t>
      </w:r>
    </w:p>
    <w:p w14:paraId="4299A142" w14:textId="59724D8A" w:rsidR="000D664D" w:rsidRPr="003D0BED" w:rsidRDefault="00280831" w:rsidP="003D0BED">
      <w:pPr>
        <w:pStyle w:val="RECOMMENDATIONS"/>
      </w:pPr>
      <w:bookmarkStart w:id="23" w:name="_Toc237342520"/>
      <w:bookmarkStart w:id="24" w:name="_Toc237342556"/>
      <w:bookmarkStart w:id="25" w:name="_Toc237342568"/>
      <w:bookmarkStart w:id="26" w:name="_Toc237342745"/>
      <w:bookmarkStart w:id="27" w:name="_Toc237525234"/>
      <w:r w:rsidRPr="003D0BED">
        <w:t>Scam warnings</w:t>
      </w:r>
      <w:r w:rsidR="00352714" w:rsidRPr="003D0BED">
        <w:t xml:space="preserve"> must be available in plain English</w:t>
      </w:r>
      <w:r w:rsidR="0070084B" w:rsidRPr="003D0BED">
        <w:t xml:space="preserve"> and First Nations languages in accessible formats</w:t>
      </w:r>
      <w:r w:rsidR="00FD59D8" w:rsidRPr="003D0BED">
        <w:t xml:space="preserve"> and </w:t>
      </w:r>
      <w:r w:rsidRPr="003D0BED">
        <w:t>s</w:t>
      </w:r>
      <w:r w:rsidR="00562821" w:rsidRPr="003D0BED">
        <w:t xml:space="preserve">hould be </w:t>
      </w:r>
      <w:r w:rsidR="002F775F" w:rsidRPr="003D0BED">
        <w:t>developed</w:t>
      </w:r>
      <w:r w:rsidR="00FD59D8" w:rsidRPr="003D0BED">
        <w:t xml:space="preserve"> together</w:t>
      </w:r>
      <w:r w:rsidR="002F775F" w:rsidRPr="003D0BED">
        <w:t xml:space="preserve"> with First Nations organisations and communities. </w:t>
      </w:r>
      <w:r w:rsidR="00FD59D8" w:rsidRPr="003D0BED">
        <w:t xml:space="preserve">Information should also be delivered through trusted local </w:t>
      </w:r>
      <w:r w:rsidR="00FC7051" w:rsidRPr="003D0BED">
        <w:t xml:space="preserve">channels such as </w:t>
      </w:r>
      <w:r w:rsidR="003D0BED" w:rsidRPr="003D0BED">
        <w:t>ACCO</w:t>
      </w:r>
      <w:r w:rsidR="00377DBB">
        <w:t>s</w:t>
      </w:r>
      <w:r w:rsidR="00FC7051" w:rsidRPr="003D0BED">
        <w:t>, Indigenous financial counsellors, local radio, community centres</w:t>
      </w:r>
      <w:r w:rsidR="00086904" w:rsidRPr="003D0BED">
        <w:t xml:space="preserve"> and face-to-face outreach.</w:t>
      </w:r>
      <w:bookmarkEnd w:id="23"/>
      <w:bookmarkEnd w:id="24"/>
      <w:bookmarkEnd w:id="25"/>
      <w:bookmarkEnd w:id="26"/>
      <w:bookmarkEnd w:id="27"/>
      <w:r w:rsidR="00086904" w:rsidRPr="003D0BED">
        <w:t xml:space="preserve"> </w:t>
      </w:r>
    </w:p>
    <w:p w14:paraId="1675368B" w14:textId="626C4279" w:rsidR="003F1D46" w:rsidRDefault="003F1D46" w:rsidP="003F1D46">
      <w:pPr>
        <w:pStyle w:val="Heading1"/>
      </w:pPr>
      <w:bookmarkStart w:id="28" w:name="_Toc237526612"/>
      <w:r>
        <w:t>Cultural capability must be embedded in SPF training</w:t>
      </w:r>
      <w:bookmarkEnd w:id="28"/>
    </w:p>
    <w:p w14:paraId="00EF7EB5" w14:textId="75D06412" w:rsidR="003F1D46" w:rsidRDefault="00FA40E7" w:rsidP="003F1D46">
      <w:r>
        <w:t>While section 2-3 of the</w:t>
      </w:r>
      <w:r w:rsidR="003F1D46">
        <w:t xml:space="preserve"> common SPF code </w:t>
      </w:r>
      <w:r w:rsidR="00860357">
        <w:t>require</w:t>
      </w:r>
      <w:r>
        <w:t>s</w:t>
      </w:r>
      <w:r w:rsidR="00860357">
        <w:t xml:space="preserve"> staff training</w:t>
      </w:r>
      <w:r w:rsidR="002F2216">
        <w:t xml:space="preserve">, this provision should also explicitly </w:t>
      </w:r>
      <w:r w:rsidR="004E3B01">
        <w:t>require</w:t>
      </w:r>
      <w:r w:rsidR="00384A77">
        <w:t xml:space="preserve"> First Nations cultural capability and culturally safe scam responses.</w:t>
      </w:r>
      <w:r w:rsidR="004E3B01">
        <w:t xml:space="preserve"> Generic </w:t>
      </w:r>
      <w:r w:rsidR="00C941F2">
        <w:t>vulnerability training is unlikely to equip staff to understand the effect of remoteness, kinship obligations</w:t>
      </w:r>
      <w:r w:rsidR="008D4F49">
        <w:t xml:space="preserve">, language differences, shared devices, limited identification documents, digital exclusion or </w:t>
      </w:r>
      <w:r w:rsidR="00B03778">
        <w:t xml:space="preserve">distrust of mainstream institutions. </w:t>
      </w:r>
    </w:p>
    <w:p w14:paraId="2C9913ED" w14:textId="7EA50A05" w:rsidR="00FD4BEF" w:rsidRPr="00D36C8B" w:rsidRDefault="00B03778" w:rsidP="00D4766E">
      <w:pPr>
        <w:pStyle w:val="RECOMMENDATIONS"/>
      </w:pPr>
      <w:bookmarkStart w:id="29" w:name="_Toc237342521"/>
      <w:bookmarkStart w:id="30" w:name="_Toc237342557"/>
      <w:bookmarkStart w:id="31" w:name="_Toc237342569"/>
      <w:bookmarkStart w:id="32" w:name="_Toc237342746"/>
      <w:bookmarkStart w:id="33" w:name="_Toc237525235"/>
      <w:r w:rsidRPr="00F05C92">
        <w:t>At a minimum, the SPF should require staff who make scam</w:t>
      </w:r>
      <w:r w:rsidR="00A1719D" w:rsidRPr="00F05C92">
        <w:t>-prevention, account-restriction, complaint or compensation decisions to be trained to</w:t>
      </w:r>
      <w:bookmarkEnd w:id="29"/>
      <w:bookmarkEnd w:id="30"/>
      <w:bookmarkEnd w:id="31"/>
      <w:r w:rsidR="004648DA">
        <w:t xml:space="preserve"> </w:t>
      </w:r>
      <w:r w:rsidR="00FE0C32" w:rsidRPr="00D36C8B">
        <w:t>r</w:t>
      </w:r>
      <w:r w:rsidR="0042791D" w:rsidRPr="00D36C8B">
        <w:t>ecognise structural and service-access barriers experienced by First Nations consumers</w:t>
      </w:r>
      <w:r w:rsidR="004648DA">
        <w:t xml:space="preserve">, </w:t>
      </w:r>
      <w:r w:rsidR="00FE0C32" w:rsidRPr="00D36C8B">
        <w:t xml:space="preserve">understand culturally specific approaches </w:t>
      </w:r>
      <w:r w:rsidR="00115320" w:rsidRPr="00D36C8B">
        <w:t>to sharing money and resources</w:t>
      </w:r>
      <w:r w:rsidR="004648DA">
        <w:t xml:space="preserve">, </w:t>
      </w:r>
      <w:r w:rsidR="00115320" w:rsidRPr="00D36C8B">
        <w:t xml:space="preserve">communicate through interpreters and </w:t>
      </w:r>
      <w:r w:rsidR="001564CD" w:rsidRPr="00D36C8B">
        <w:t>culturally safe channels</w:t>
      </w:r>
      <w:r w:rsidR="00D4766E">
        <w:t xml:space="preserve">, </w:t>
      </w:r>
      <w:r w:rsidR="001564CD" w:rsidRPr="00D36C8B">
        <w:t>avoid blaming or shaming consumers</w:t>
      </w:r>
      <w:r w:rsidR="00D4766E">
        <w:t xml:space="preserve">, </w:t>
      </w:r>
      <w:r w:rsidR="00FD4BEF" w:rsidRPr="00D36C8B">
        <w:t>provide trauma-informed assistance and appropriate referrals</w:t>
      </w:r>
      <w:r w:rsidR="00D4766E">
        <w:t xml:space="preserve">, </w:t>
      </w:r>
      <w:r w:rsidR="00FD4BEF" w:rsidRPr="00D36C8B">
        <w:t>and</w:t>
      </w:r>
      <w:r w:rsidR="00D4766E">
        <w:t xml:space="preserve"> </w:t>
      </w:r>
      <w:r w:rsidR="00CE122A" w:rsidRPr="00D36C8B">
        <w:t>work effectively with A</w:t>
      </w:r>
      <w:r w:rsidR="00527C99" w:rsidRPr="00D36C8B">
        <w:t>CCOs</w:t>
      </w:r>
      <w:r w:rsidR="00CE122A" w:rsidRPr="00D36C8B">
        <w:t>, Indigenous financial counsellors and trusted support people.</w:t>
      </w:r>
      <w:bookmarkEnd w:id="32"/>
      <w:bookmarkEnd w:id="33"/>
    </w:p>
    <w:p w14:paraId="3475D73A" w14:textId="19EF549B" w:rsidR="00CE122A" w:rsidRPr="00F05C92" w:rsidRDefault="00CE122A" w:rsidP="00F05C92">
      <w:pPr>
        <w:pStyle w:val="RECOMMENDATIONS"/>
      </w:pPr>
      <w:bookmarkStart w:id="34" w:name="_Toc237342522"/>
      <w:bookmarkStart w:id="35" w:name="_Toc237342558"/>
      <w:bookmarkStart w:id="36" w:name="_Toc237342570"/>
      <w:bookmarkStart w:id="37" w:name="_Toc237342747"/>
      <w:bookmarkStart w:id="38" w:name="_Toc237525236"/>
      <w:r w:rsidRPr="00F05C92">
        <w:t>Training content should be developed and review with First Nations</w:t>
      </w:r>
      <w:r w:rsidR="004D618B" w:rsidRPr="00F05C92">
        <w:t>-</w:t>
      </w:r>
      <w:r w:rsidRPr="00F05C92">
        <w:t xml:space="preserve">led organisations. Regulated entities should also be required to measure training effectiveness, rather than </w:t>
      </w:r>
      <w:r w:rsidR="004D618B" w:rsidRPr="00F05C92">
        <w:t>merely recording staff attendance.</w:t>
      </w:r>
      <w:bookmarkEnd w:id="34"/>
      <w:bookmarkEnd w:id="35"/>
      <w:bookmarkEnd w:id="36"/>
      <w:bookmarkEnd w:id="37"/>
      <w:bookmarkEnd w:id="38"/>
      <w:r w:rsidR="004D618B" w:rsidRPr="00F05C92">
        <w:t xml:space="preserve"> </w:t>
      </w:r>
    </w:p>
    <w:p w14:paraId="0DB63A06" w14:textId="0B350BEC" w:rsidR="0042791D" w:rsidRDefault="00DD629E" w:rsidP="0079270E">
      <w:pPr>
        <w:pStyle w:val="Heading1"/>
      </w:pPr>
      <w:bookmarkStart w:id="39" w:name="_Toc237526613"/>
      <w:r>
        <w:t>Culturally safe reporting and response pathways are essential</w:t>
      </w:r>
      <w:bookmarkEnd w:id="39"/>
    </w:p>
    <w:p w14:paraId="65D38D94" w14:textId="10DA566D" w:rsidR="00DF5BF3" w:rsidRDefault="00DD629E" w:rsidP="00DD629E">
      <w:r>
        <w:t xml:space="preserve">First Nations consumers may be less likely to report scams or pursue complaints where services are not culturally safe, trusted or accessible. Experiences in insurance and other financial services show that cultural and kinship practices can shape how consumers understand risk, share resources and seek support </w:t>
      </w:r>
      <w:r w:rsidR="00FB0880">
        <w:t>when something</w:t>
      </w:r>
      <w:r w:rsidR="009F72AF">
        <w:t xml:space="preserve"> goes wrong</w:t>
      </w:r>
      <w:r w:rsidR="007A68A2">
        <w:t xml:space="preserve">. Strong community and family </w:t>
      </w:r>
      <w:r w:rsidR="00233473">
        <w:t xml:space="preserve">support </w:t>
      </w:r>
      <w:r w:rsidR="00244A51">
        <w:t>are</w:t>
      </w:r>
      <w:r w:rsidR="00233473">
        <w:t xml:space="preserve"> important</w:t>
      </w:r>
      <w:r w:rsidR="00CB12E7">
        <w:t xml:space="preserve"> and valid</w:t>
      </w:r>
      <w:r w:rsidR="00233473">
        <w:t xml:space="preserve"> </w:t>
      </w:r>
      <w:r w:rsidR="00776F07">
        <w:t>source</w:t>
      </w:r>
      <w:r w:rsidR="00244A51">
        <w:t>s in the process</w:t>
      </w:r>
      <w:r w:rsidR="00CB12E7">
        <w:t xml:space="preserve"> and should be treated as such</w:t>
      </w:r>
      <w:r w:rsidR="00E31099">
        <w:t xml:space="preserve">, but mainstream financial systems might not recognise these practices or clearly explain the role of institutional protections, </w:t>
      </w:r>
      <w:r w:rsidR="009540A9">
        <w:t xml:space="preserve">complaint pathways and compensation. </w:t>
      </w:r>
    </w:p>
    <w:p w14:paraId="7D3C37BB" w14:textId="3107F86E" w:rsidR="004D4CED" w:rsidRDefault="00EB0FBB" w:rsidP="00403BA1">
      <w:r>
        <w:t>These cultural and institutional factors can also shape how First Nations consumers report scams and seek redress</w:t>
      </w:r>
      <w:r w:rsidR="006B4600">
        <w:t>.</w:t>
      </w:r>
      <w:r w:rsidR="004759D2">
        <w:t xml:space="preserve"> </w:t>
      </w:r>
      <w:r w:rsidR="002E25DD">
        <w:t>Feelings of shame, fear of judgement</w:t>
      </w:r>
      <w:r w:rsidR="00501DC8">
        <w:t xml:space="preserve">, limited understanding of available rights and previous negative experiences </w:t>
      </w:r>
      <w:r w:rsidR="00BD71A1">
        <w:t xml:space="preserve">with institutions may discourage come consumers from reporting a scam or progressing a complaint. </w:t>
      </w:r>
      <w:r w:rsidR="00F006DA">
        <w:t xml:space="preserve">However, these issues should not be framed as shortcoming of First Nations consumers. They instead reflect </w:t>
      </w:r>
      <w:r w:rsidR="004C4802">
        <w:t>whether reporting and dispute res</w:t>
      </w:r>
      <w:r w:rsidR="009E6F39">
        <w:t>olution systems are culturally safe, accessible and responsive.</w:t>
      </w:r>
      <w:r w:rsidR="006B4600">
        <w:t xml:space="preserve"> AFCA's own work recognises the importance of culturally competent complaint resolution and First Nations voices in the delivery of financial services.</w:t>
      </w:r>
      <w:r w:rsidR="006B4600">
        <w:rPr>
          <w:rStyle w:val="FootnoteReference"/>
        </w:rPr>
        <w:footnoteReference w:id="12"/>
      </w:r>
    </w:p>
    <w:p w14:paraId="1DACCBEA" w14:textId="234ADD12" w:rsidR="001F1949" w:rsidRPr="00527C99" w:rsidRDefault="001F1949" w:rsidP="00527C99">
      <w:pPr>
        <w:pStyle w:val="RECOMMENDATIONS"/>
      </w:pPr>
      <w:bookmarkStart w:id="40" w:name="_Toc237342523"/>
      <w:bookmarkStart w:id="41" w:name="_Toc237342559"/>
      <w:bookmarkStart w:id="42" w:name="_Toc237342571"/>
      <w:bookmarkStart w:id="43" w:name="_Toc237342748"/>
      <w:bookmarkStart w:id="44" w:name="_Toc237525237"/>
      <w:r w:rsidRPr="00527C99">
        <w:lastRenderedPageBreak/>
        <w:t xml:space="preserve">Under the SPF's respond pillar, regulated entities should be required to </w:t>
      </w:r>
      <w:r w:rsidR="00A0593A" w:rsidRPr="00527C99">
        <w:t>provide culturally safe reporting and complaint pathways</w:t>
      </w:r>
      <w:r w:rsidR="008F563D" w:rsidRPr="00527C99">
        <w:t>, developed in collaboration with First Nation</w:t>
      </w:r>
      <w:r w:rsidR="007C6CAB">
        <w:t>s</w:t>
      </w:r>
      <w:r w:rsidR="008F563D" w:rsidRPr="00527C99">
        <w:t xml:space="preserve"> organisation</w:t>
      </w:r>
      <w:r w:rsidR="00527C99" w:rsidRPr="00527C99">
        <w:t>s</w:t>
      </w:r>
      <w:r w:rsidR="008F563D" w:rsidRPr="00527C99">
        <w:t xml:space="preserve"> and communities.</w:t>
      </w:r>
      <w:bookmarkEnd w:id="40"/>
      <w:bookmarkEnd w:id="41"/>
      <w:bookmarkEnd w:id="42"/>
      <w:bookmarkEnd w:id="43"/>
      <w:bookmarkEnd w:id="44"/>
      <w:r w:rsidR="008F563D" w:rsidRPr="00527C99">
        <w:t xml:space="preserve"> </w:t>
      </w:r>
    </w:p>
    <w:p w14:paraId="7437770D" w14:textId="509E0449" w:rsidR="004D4CED" w:rsidRDefault="003621C1" w:rsidP="003621C1">
      <w:pPr>
        <w:pStyle w:val="Heading1"/>
      </w:pPr>
      <w:bookmarkStart w:id="45" w:name="_Toc237526614"/>
      <w:r>
        <w:t>Identity verification requirements must not deepen exclusion</w:t>
      </w:r>
      <w:bookmarkEnd w:id="45"/>
    </w:p>
    <w:p w14:paraId="6BC5E0D5" w14:textId="0AB33495" w:rsidR="003621C1" w:rsidRDefault="003621C1" w:rsidP="003621C1">
      <w:r>
        <w:t xml:space="preserve">Stronger identity verification requirements under the SPF may assist in preventing fraud and scams, but they also risk creating further barriers </w:t>
      </w:r>
      <w:r w:rsidR="000325DD">
        <w:t xml:space="preserve">for First Nations consumers who do not hold conventional forms of identification. This is particularly significant in </w:t>
      </w:r>
      <w:r w:rsidR="00446DD4">
        <w:t xml:space="preserve">remote communities where people may not have a </w:t>
      </w:r>
      <w:r w:rsidR="00E35E0F">
        <w:t xml:space="preserve">birth certificate, </w:t>
      </w:r>
      <w:r w:rsidR="00446DD4">
        <w:t>driver</w:t>
      </w:r>
      <w:r w:rsidR="00F878BA">
        <w:t>’</w:t>
      </w:r>
      <w:r w:rsidR="00E35E0F">
        <w:t>s</w:t>
      </w:r>
      <w:r w:rsidR="00446DD4">
        <w:t xml:space="preserve"> licence or other standard identification and may have different names or dates of birth recorded across government and service-provider systems. </w:t>
      </w:r>
    </w:p>
    <w:p w14:paraId="398A7AFD" w14:textId="6924E027" w:rsidR="00185C4E" w:rsidRDefault="0085775A" w:rsidP="003621C1">
      <w:r>
        <w:t xml:space="preserve">The community </w:t>
      </w:r>
      <w:r w:rsidR="00251EED">
        <w:t xml:space="preserve">identification card project, which is developing a framework for </w:t>
      </w:r>
      <w:r w:rsidR="00F15B76">
        <w:t>ACCO</w:t>
      </w:r>
      <w:r w:rsidR="003D0BED">
        <w:t>s</w:t>
      </w:r>
      <w:r w:rsidR="00F15B76">
        <w:t xml:space="preserve"> </w:t>
      </w:r>
      <w:r w:rsidR="002E1726">
        <w:t xml:space="preserve">to issue approved cards, </w:t>
      </w:r>
      <w:r w:rsidR="00D455F9">
        <w:t>provides a</w:t>
      </w:r>
      <w:r w:rsidR="008318E3">
        <w:t xml:space="preserve"> culturally appropriate alternative. </w:t>
      </w:r>
      <w:r w:rsidR="00DC3B35">
        <w:t xml:space="preserve">Recognising these cards would </w:t>
      </w:r>
      <w:r w:rsidR="00185C4E">
        <w:t>allow the SPF to strengthen identity controls without excluding First Nations consumers from banking, telecommunications and other essential services.</w:t>
      </w:r>
    </w:p>
    <w:p w14:paraId="27EA0E7D" w14:textId="76386E55" w:rsidR="00DC3B35" w:rsidRDefault="00185C4E" w:rsidP="003621C1">
      <w:r>
        <w:t>T</w:t>
      </w:r>
      <w:r w:rsidR="004F4261">
        <w:t>hese cards are issued by Aboriginal corporations, land councils, local governments and other community organisations</w:t>
      </w:r>
      <w:r w:rsidR="00FA1CF3">
        <w:t xml:space="preserve">. </w:t>
      </w:r>
      <w:r w:rsidR="007E26D7">
        <w:t>The cards vary in their level of sophistication</w:t>
      </w:r>
      <w:r w:rsidR="004F4261">
        <w:t xml:space="preserve"> and can contain identifying information such as the person's name, photograph, </w:t>
      </w:r>
      <w:r w:rsidR="00741821">
        <w:t>date of birth, address, signature and a unique reference number.</w:t>
      </w:r>
      <w:r w:rsidR="00944814">
        <w:rPr>
          <w:rStyle w:val="FootnoteReference"/>
        </w:rPr>
        <w:footnoteReference w:id="13"/>
      </w:r>
      <w:r w:rsidR="00BE770E">
        <w:t xml:space="preserve"> </w:t>
      </w:r>
      <w:r w:rsidR="002B70E3">
        <w:t xml:space="preserve">Those with greater sophistication will be more readily acceptable by banks. </w:t>
      </w:r>
    </w:p>
    <w:p w14:paraId="12276F82" w14:textId="6AF427BB" w:rsidR="00D2127A" w:rsidRDefault="00505FED" w:rsidP="003621C1">
      <w:r>
        <w:t xml:space="preserve">The Australian Banking Association </w:t>
      </w:r>
      <w:r w:rsidR="007320C6">
        <w:t xml:space="preserve">has developed guidance to help banks assess and accept these cards for Know Your Customer identification purposes, consistent with </w:t>
      </w:r>
      <w:r w:rsidR="00D4070B">
        <w:t>the Australian Transaction Reports and Analysis Centre (</w:t>
      </w:r>
      <w:r w:rsidR="007320C6">
        <w:t>AUSTRAC</w:t>
      </w:r>
      <w:r w:rsidR="00D4070B">
        <w:t xml:space="preserve">) guidance </w:t>
      </w:r>
      <w:r w:rsidR="00556F56">
        <w:t>encouraging a flexible approach for First Nations customers who do not have standard identification.</w:t>
      </w:r>
      <w:r w:rsidR="00C12FEB">
        <w:rPr>
          <w:rStyle w:val="FootnoteReference"/>
        </w:rPr>
        <w:footnoteReference w:id="14"/>
      </w:r>
    </w:p>
    <w:p w14:paraId="5042DE88" w14:textId="5D88AC5F" w:rsidR="00446DD4" w:rsidRPr="00527C99" w:rsidRDefault="00912CDE" w:rsidP="00527C99">
      <w:pPr>
        <w:pStyle w:val="RECOMMENDATIONS"/>
      </w:pPr>
      <w:bookmarkStart w:id="46" w:name="_Toc237342524"/>
      <w:bookmarkStart w:id="47" w:name="_Toc237342560"/>
      <w:bookmarkStart w:id="48" w:name="_Toc237342572"/>
      <w:bookmarkStart w:id="49" w:name="_Toc237342749"/>
      <w:bookmarkStart w:id="50" w:name="_Toc237525238"/>
      <w:r w:rsidRPr="00527C99">
        <w:t xml:space="preserve">The SPF codes should expressly recognise First Nations community identification cards as an acceptable form of identification and require banks and other regulated entities to offer alternative </w:t>
      </w:r>
      <w:r w:rsidR="00D2127A" w:rsidRPr="00527C99">
        <w:t>verification pathways.</w:t>
      </w:r>
      <w:bookmarkEnd w:id="46"/>
      <w:bookmarkEnd w:id="47"/>
      <w:bookmarkEnd w:id="48"/>
      <w:bookmarkEnd w:id="49"/>
      <w:bookmarkEnd w:id="50"/>
      <w:r w:rsidR="00D2127A" w:rsidRPr="00527C99">
        <w:t xml:space="preserve"> </w:t>
      </w:r>
      <w:r w:rsidR="007320C6" w:rsidRPr="00527C99">
        <w:t xml:space="preserve"> </w:t>
      </w:r>
    </w:p>
    <w:p w14:paraId="7E162C35" w14:textId="77777777" w:rsidR="004D4CED" w:rsidRDefault="004D4CED" w:rsidP="00403BA1"/>
    <w:p w14:paraId="4F764AF1" w14:textId="77777777" w:rsidR="004D4CED" w:rsidRDefault="004D4CED" w:rsidP="00403BA1"/>
    <w:p w14:paraId="6162DDD3" w14:textId="77777777" w:rsidR="004D4CED" w:rsidRDefault="004D4CED" w:rsidP="00403BA1"/>
    <w:p w14:paraId="16053C51" w14:textId="77777777" w:rsidR="004D4CED" w:rsidRDefault="004D4CED" w:rsidP="00403BA1"/>
    <w:p w14:paraId="38CC693D" w14:textId="77777777" w:rsidR="004D4CED" w:rsidRDefault="004D4CED" w:rsidP="00403BA1"/>
    <w:p w14:paraId="3E714781" w14:textId="77777777" w:rsidR="004D4CED" w:rsidRDefault="004D4CED" w:rsidP="00403BA1"/>
    <w:p w14:paraId="0ABC519A" w14:textId="77777777" w:rsidR="004D4CED" w:rsidRDefault="004D4CED" w:rsidP="00403BA1"/>
    <w:p w14:paraId="57647917" w14:textId="77777777" w:rsidR="004D4CED" w:rsidRDefault="004D4CED" w:rsidP="00403BA1"/>
    <w:p w14:paraId="72AFFA23" w14:textId="77777777" w:rsidR="004D4CED" w:rsidRDefault="004D4CED" w:rsidP="00403BA1"/>
    <w:p w14:paraId="09A1E5CD" w14:textId="4A7CF964" w:rsidR="0089709A" w:rsidRDefault="0089709A" w:rsidP="00853303">
      <w:pPr>
        <w:pStyle w:val="RECOMMENDATIONS"/>
        <w:numPr>
          <w:ilvl w:val="0"/>
          <w:numId w:val="0"/>
        </w:numPr>
      </w:pPr>
    </w:p>
    <w:p w14:paraId="5D15474D" w14:textId="3DC16B58" w:rsidR="00A72632" w:rsidRDefault="00BF560A" w:rsidP="00023B8F">
      <w:pPr>
        <w:pStyle w:val="Heading1"/>
      </w:pPr>
      <w:bookmarkStart w:id="51" w:name="_Toc237526615"/>
      <w:r>
        <w:rPr>
          <w:noProof/>
        </w:rPr>
        <w:lastRenderedPageBreak/>
        <mc:AlternateContent>
          <mc:Choice Requires="wps">
            <w:drawing>
              <wp:anchor distT="45720" distB="45720" distL="114300" distR="114300" simplePos="0" relativeHeight="251658240" behindDoc="0" locked="0" layoutInCell="1" allowOverlap="1" wp14:anchorId="009934BF" wp14:editId="647F7236">
                <wp:simplePos x="0" y="0"/>
                <wp:positionH relativeFrom="column">
                  <wp:posOffset>9525</wp:posOffset>
                </wp:positionH>
                <wp:positionV relativeFrom="paragraph">
                  <wp:posOffset>371475</wp:posOffset>
                </wp:positionV>
                <wp:extent cx="6492240" cy="7145655"/>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7145655"/>
                        </a:xfrm>
                        <a:prstGeom prst="roundRect">
                          <a:avLst>
                            <a:gd name="adj" fmla="val 939"/>
                          </a:avLst>
                        </a:prstGeom>
                        <a:solidFill>
                          <a:schemeClr val="bg2">
                            <a:lumMod val="95000"/>
                          </a:schemeClr>
                        </a:solidFill>
                        <a:ln w="9525">
                          <a:noFill/>
                          <a:miter lim="800000"/>
                          <a:headEnd/>
                          <a:tailEnd/>
                        </a:ln>
                      </wps:spPr>
                      <wps:txbx>
                        <w:txbxContent>
                          <w:p w14:paraId="0E5677C0" w14:textId="77777777" w:rsidR="008D0ACA" w:rsidRDefault="00842498">
                            <w:pPr>
                              <w:pStyle w:val="TOC4"/>
                              <w:rPr>
                                <w:rFonts w:asciiTheme="minorHAnsi" w:hAnsiTheme="minorHAnsi"/>
                                <w:noProof/>
                                <w:color w:val="auto"/>
                                <w:kern w:val="2"/>
                                <w:sz w:val="24"/>
                                <w:szCs w:val="24"/>
                                <w:lang w:eastAsia="en-AU"/>
                                <w14:ligatures w14:val="standardContextual"/>
                              </w:rPr>
                            </w:pPr>
                            <w:r>
                              <w:rPr>
                                <w:b/>
                              </w:rPr>
                              <w:fldChar w:fldCharType="begin"/>
                            </w:r>
                            <w:r>
                              <w:rPr>
                                <w:b/>
                              </w:rPr>
                              <w:instrText xml:space="preserve"> TOC \n \h \z \t "RECOMMENDATIONS,4" </w:instrText>
                            </w:r>
                            <w:r>
                              <w:rPr>
                                <w:b/>
                              </w:rPr>
                              <w:fldChar w:fldCharType="separate"/>
                            </w:r>
                            <w:hyperlink w:anchor="_Toc237525230" w:history="1">
                              <w:r w:rsidR="008D0ACA" w:rsidRPr="009A3D68">
                                <w:rPr>
                                  <w:rStyle w:val="Hyperlink"/>
                                  <w:b/>
                                  <w:noProof/>
                                </w:rPr>
                                <w:t>RECOMMENDATION 1.</w:t>
                              </w:r>
                              <w:r w:rsidR="008D0ACA" w:rsidRPr="009A3D68">
                                <w:rPr>
                                  <w:rStyle w:val="Hyperlink"/>
                                  <w:noProof/>
                                </w:rPr>
                                <w:t xml:space="preserve"> Require regulated entities to co-design accessible and culturally safe scam reporting and support channels with First Nations communities, including non-digital options, interpreter services and trusted representative arrangements.</w:t>
                              </w:r>
                            </w:hyperlink>
                          </w:p>
                          <w:p w14:paraId="263CB547" w14:textId="222E9AD5" w:rsidR="008D0ACA" w:rsidRDefault="008D0ACA">
                            <w:pPr>
                              <w:pStyle w:val="TOC4"/>
                              <w:rPr>
                                <w:rFonts w:asciiTheme="minorHAnsi" w:hAnsiTheme="minorHAnsi"/>
                                <w:noProof/>
                                <w:color w:val="auto"/>
                                <w:kern w:val="2"/>
                                <w:sz w:val="24"/>
                                <w:szCs w:val="24"/>
                                <w:lang w:eastAsia="en-AU"/>
                                <w14:ligatures w14:val="standardContextual"/>
                              </w:rPr>
                            </w:pPr>
                            <w:hyperlink w:anchor="_Toc237525231" w:history="1">
                              <w:r w:rsidRPr="009A3D68">
                                <w:rPr>
                                  <w:rStyle w:val="Hyperlink"/>
                                  <w:b/>
                                  <w:noProof/>
                                </w:rPr>
                                <w:t>RECOMMENDATION 2.</w:t>
                              </w:r>
                              <w:r w:rsidRPr="009A3D68">
                                <w:rPr>
                                  <w:rStyle w:val="Hyperlink"/>
                                  <w:noProof/>
                                </w:rPr>
                                <w:t xml:space="preserve"> Government, together with industry, should fund First Nations financial counsellors, legal services and ACCO</w:t>
                              </w:r>
                              <w:r w:rsidR="002063F5">
                                <w:rPr>
                                  <w:rStyle w:val="Hyperlink"/>
                                  <w:noProof/>
                                </w:rPr>
                                <w:t>s</w:t>
                              </w:r>
                              <w:r w:rsidRPr="009A3D68">
                                <w:rPr>
                                  <w:rStyle w:val="Hyperlink"/>
                                  <w:noProof/>
                                </w:rPr>
                                <w:t>.</w:t>
                              </w:r>
                            </w:hyperlink>
                          </w:p>
                          <w:p w14:paraId="020324F0"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2" w:history="1">
                              <w:r w:rsidRPr="009A3D68">
                                <w:rPr>
                                  <w:rStyle w:val="Hyperlink"/>
                                  <w:b/>
                                  <w:noProof/>
                                </w:rPr>
                                <w:t>RECOMMENDATION 3.</w:t>
                              </w:r>
                              <w:r w:rsidRPr="009A3D68">
                                <w:rPr>
                                  <w:rStyle w:val="Hyperlink"/>
                                  <w:noProof/>
                                </w:rPr>
                                <w:t xml:space="preserve"> The codes should require regulated entities to maintain culturally safe and accessible alternatives to digital self-service. This should include dedicated First Nations customer support, access to trained staff, interpreter services, assisted complaint pathways and arrangements for face-to-face or community-based support where digital engagement is not readily available.</w:t>
                              </w:r>
                            </w:hyperlink>
                          </w:p>
                          <w:p w14:paraId="4DACAAE2"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3" w:history="1">
                              <w:r w:rsidRPr="009A3D68">
                                <w:rPr>
                                  <w:rStyle w:val="Hyperlink"/>
                                  <w:b/>
                                  <w:noProof/>
                                </w:rPr>
                                <w:t>RECOMMENDATION 4.</w:t>
                              </w:r>
                              <w:r w:rsidRPr="009A3D68">
                                <w:rPr>
                                  <w:rStyle w:val="Hyperlink"/>
                                  <w:noProof/>
                                </w:rPr>
                                <w:t xml:space="preserve"> Banks should be required to investigate the full cultural and practical context before relying on card, PIN or credential sharing to reject a claim. They should also provide safer alternatives, such as culturally accessible account controls.</w:t>
                              </w:r>
                            </w:hyperlink>
                          </w:p>
                          <w:p w14:paraId="74247392"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4" w:history="1">
                              <w:r w:rsidRPr="009A3D68">
                                <w:rPr>
                                  <w:rStyle w:val="Hyperlink"/>
                                  <w:b/>
                                  <w:noProof/>
                                </w:rPr>
                                <w:t>RECOMMENDATION 5.</w:t>
                              </w:r>
                              <w:r w:rsidRPr="009A3D68">
                                <w:rPr>
                                  <w:rStyle w:val="Hyperlink"/>
                                  <w:noProof/>
                                </w:rPr>
                                <w:t xml:space="preserve"> Scam warnings must be available in plain English and First Nations languages in accessible formats and should be developed together with First Nations organisations and communities. Information should also be delivered through trusted local channels such as ACCOs, Indigenous financial counsellors, local radio, community centres and face-to-face outreach.</w:t>
                              </w:r>
                            </w:hyperlink>
                          </w:p>
                          <w:p w14:paraId="3572A638"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5" w:history="1">
                              <w:r w:rsidRPr="009A3D68">
                                <w:rPr>
                                  <w:rStyle w:val="Hyperlink"/>
                                  <w:b/>
                                  <w:noProof/>
                                </w:rPr>
                                <w:t>RECOMMENDATION 6.</w:t>
                              </w:r>
                              <w:r w:rsidRPr="009A3D68">
                                <w:rPr>
                                  <w:rStyle w:val="Hyperlink"/>
                                  <w:noProof/>
                                </w:rPr>
                                <w:t xml:space="preserve"> At a minimum, the SPF should require staff who make scam-prevention, account-restriction, complaint or compensation decisions to be trained to recognise structural and service-access barriers experienced by First Nations consumers, understand culturally specific approaches to sharing money and resources, communicate through interpreters and culturally safe channels, avoid blaming or shaming consumers, provide trauma-informed assistance and appropriate referrals, and work effectively with ACCOs, Indigenous financial counsellors and trusted support people.</w:t>
                              </w:r>
                            </w:hyperlink>
                          </w:p>
                          <w:p w14:paraId="0A5F87B1"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6" w:history="1">
                              <w:r w:rsidRPr="009A3D68">
                                <w:rPr>
                                  <w:rStyle w:val="Hyperlink"/>
                                  <w:b/>
                                  <w:noProof/>
                                </w:rPr>
                                <w:t>RECOMMENDATION 7.</w:t>
                              </w:r>
                              <w:r w:rsidRPr="009A3D68">
                                <w:rPr>
                                  <w:rStyle w:val="Hyperlink"/>
                                  <w:noProof/>
                                </w:rPr>
                                <w:t xml:space="preserve"> Training content should be developed and review with First Nations-led organisations. Regulated entities should also be required to measure training effectiveness, rather than merely recording staff attendance.</w:t>
                              </w:r>
                            </w:hyperlink>
                          </w:p>
                          <w:p w14:paraId="0DE54082"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7" w:history="1">
                              <w:r w:rsidRPr="009A3D68">
                                <w:rPr>
                                  <w:rStyle w:val="Hyperlink"/>
                                  <w:b/>
                                  <w:noProof/>
                                </w:rPr>
                                <w:t>RECOMMENDATION 8.</w:t>
                              </w:r>
                              <w:r w:rsidRPr="009A3D68">
                                <w:rPr>
                                  <w:rStyle w:val="Hyperlink"/>
                                  <w:noProof/>
                                </w:rPr>
                                <w:t xml:space="preserve"> Under the SPF's respond pillar, regulated entities should be required to provide culturally safe reporting and complaint pathways, developed in collaboration with First Nations organisations and communities.</w:t>
                              </w:r>
                            </w:hyperlink>
                          </w:p>
                          <w:p w14:paraId="2EE87F56"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8" w:history="1">
                              <w:r w:rsidRPr="009A3D68">
                                <w:rPr>
                                  <w:rStyle w:val="Hyperlink"/>
                                  <w:b/>
                                  <w:noProof/>
                                </w:rPr>
                                <w:t>RECOMMENDATION 9.</w:t>
                              </w:r>
                              <w:r w:rsidRPr="009A3D68">
                                <w:rPr>
                                  <w:rStyle w:val="Hyperlink"/>
                                  <w:noProof/>
                                </w:rPr>
                                <w:t xml:space="preserve"> The SPF codes should expressly recognise First Nations community identification cards as an acceptable form of identification and require banks and other regulated entities to offer alternative verification pathways.</w:t>
                              </w:r>
                            </w:hyperlink>
                          </w:p>
                          <w:p w14:paraId="7AB26D23" w14:textId="6D2C6A3B" w:rsidR="00BF560A" w:rsidRDefault="00842498" w:rsidP="00842498">
                            <w:r>
                              <w:rPr>
                                <w:b/>
                              </w:rPr>
                              <w:fldChar w:fldCharType="end"/>
                            </w:r>
                          </w:p>
                        </w:txbxContent>
                      </wps:txbx>
                      <wps:bodyPr rot="0" vert="horz" wrap="square" lIns="180000" tIns="72000" rIns="180000" bIns="720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09934BF" id="Text Box 2" o:spid="_x0000_s1026" style="position:absolute;margin-left:.75pt;margin-top:29.25pt;width:511.2pt;height:56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6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MWOgIAAEsEAAAOAAAAZHJzL2Uyb0RvYy54bWysVNty0zAQfWeGf9DondgxSdt44nRKShlm&#10;ymUofIAsybFA0hpJiZ1+PSvZCaW8MbxoJO3q7O7Zs1pfD0aTg3Rega3ofJZTIi0Hoeyuot++3r26&#10;osQHZgXTYGVFj9LT683LF+u+K2UBLWghHUEQ68u+q2gbQldmmeetNMzPoJMWjQ04wwIe3S4TjvWI&#10;bnRW5PlF1oMTnQMuvcfb29FINwm/aSQPn5rGy0B0RTG3kFaX1jqu2WbNyp1jXav4lAb7hywMUxaD&#10;nqFuWWBk79RfUEZxBx6aMONgMmgaxWWqAauZ58+qeWhZJ1MtSI7vzjT5/wfLPx4eus+OhOENDNjA&#10;VITv7oH/8MTCtmV2J2+cg76VTGDgeaQs6ztfTk8j1b70EaTuP4DAJrN9gAQ0NM5EVrBOgujYgOOZ&#10;dDkEwvHyYrEqigWaONou54vlxXKZYrDy9LxzPryTYEjcVNTB3oov2NoUgx3ufUjUC2KZieHFd0oa&#10;o7GRB6bJ6vVqwptcM1aeEOM7D1qJO6V1OkThya12BJ9WtN4VKYjeGyxtvFst8zwJB3GSTqM7cvIM&#10;SVvSV3S1LJYJwUIMkeRmVEDNa2UqeoVQIxgrI8FvrUgugSk97hFW24nxSPJIdxjqAR0j8zWII3Lv&#10;YNQ2ziJuWnCPlPSo64r6n3vmJCX6vY39SyFxEtLpEmcIqXd/mOqnJmY5glU0UDJutyGNTyTLwg12&#10;ulHhJIkxlylbVGxiZZquOBJPz8nr9x+w+QUAAP//AwBQSwMEFAAGAAgAAAAhAAunjvThAAAACgEA&#10;AA8AAABkcnMvZG93bnJldi54bWxMj0FLw0AQhe+C/2EZwUuwm7ZU0jSbokKgKB6sQq+b7DSJZmdD&#10;dptGf73Tk55mHu/x5ptsO9lOjDj41pGC+SwGgVQ501Kt4OO9uEtA+KDJ6M4RKvhGD9v8+irTqXFn&#10;esNxH2rBJeRTraAJoU+l9FWDVvuZ65HYO7rB6sByqKUZ9JnLbScXcXwvrW6JLzS6x6cGq6/9ySr4&#10;2UWfxe45ej2OobTmpaDo8HhQ6vZmetiACDiFvzBc8BkdcmYq3YmMFx3rFQcVrBKeFzteLNcgSt7m&#10;yTIBmWfy/wv5LwAAAP//AwBQSwECLQAUAAYACAAAACEAtoM4kv4AAADhAQAAEwAAAAAAAAAAAAAA&#10;AAAAAAAAW0NvbnRlbnRfVHlwZXNdLnhtbFBLAQItABQABgAIAAAAIQA4/SH/1gAAAJQBAAALAAAA&#10;AAAAAAAAAAAAAC8BAABfcmVscy8ucmVsc1BLAQItABQABgAIAAAAIQDYzkMWOgIAAEsEAAAOAAAA&#10;AAAAAAAAAAAAAC4CAABkcnMvZTJvRG9jLnhtbFBLAQItABQABgAIAAAAIQALp4704QAAAAoBAAAP&#10;AAAAAAAAAAAAAAAAAJQEAABkcnMvZG93bnJldi54bWxQSwUGAAAAAAQABADzAAAAogUAAAAA&#10;" fillcolor="#f2f2f2 [3054]" stroked="f">
                <v:stroke joinstyle="miter"/>
                <v:textbox inset="5mm,2mm,5mm,2mm">
                  <w:txbxContent>
                    <w:p w14:paraId="0E5677C0" w14:textId="77777777" w:rsidR="008D0ACA" w:rsidRDefault="00842498">
                      <w:pPr>
                        <w:pStyle w:val="TOC4"/>
                        <w:rPr>
                          <w:rFonts w:asciiTheme="minorHAnsi" w:hAnsiTheme="minorHAnsi"/>
                          <w:noProof/>
                          <w:color w:val="auto"/>
                          <w:kern w:val="2"/>
                          <w:sz w:val="24"/>
                          <w:szCs w:val="24"/>
                          <w:lang w:eastAsia="en-AU"/>
                          <w14:ligatures w14:val="standardContextual"/>
                        </w:rPr>
                      </w:pPr>
                      <w:r>
                        <w:rPr>
                          <w:b/>
                        </w:rPr>
                        <w:fldChar w:fldCharType="begin"/>
                      </w:r>
                      <w:r>
                        <w:rPr>
                          <w:b/>
                        </w:rPr>
                        <w:instrText xml:space="preserve"> TOC \n \h \z \t "RECOMMENDATIONS,4" </w:instrText>
                      </w:r>
                      <w:r>
                        <w:rPr>
                          <w:b/>
                        </w:rPr>
                        <w:fldChar w:fldCharType="separate"/>
                      </w:r>
                      <w:hyperlink w:anchor="_Toc237525230" w:history="1">
                        <w:r w:rsidR="008D0ACA" w:rsidRPr="009A3D68">
                          <w:rPr>
                            <w:rStyle w:val="Hyperlink"/>
                            <w:b/>
                            <w:noProof/>
                          </w:rPr>
                          <w:t>RECOMMENDATION 1.</w:t>
                        </w:r>
                        <w:r w:rsidR="008D0ACA" w:rsidRPr="009A3D68">
                          <w:rPr>
                            <w:rStyle w:val="Hyperlink"/>
                            <w:noProof/>
                          </w:rPr>
                          <w:t xml:space="preserve"> Require regulated entities to co-design accessible and culturally safe scam reporting and support channels with First Nations communities, including non-digital options, interpreter services and trusted representative arrangements.</w:t>
                        </w:r>
                      </w:hyperlink>
                    </w:p>
                    <w:p w14:paraId="263CB547" w14:textId="222E9AD5" w:rsidR="008D0ACA" w:rsidRDefault="008D0ACA">
                      <w:pPr>
                        <w:pStyle w:val="TOC4"/>
                        <w:rPr>
                          <w:rFonts w:asciiTheme="minorHAnsi" w:hAnsiTheme="minorHAnsi"/>
                          <w:noProof/>
                          <w:color w:val="auto"/>
                          <w:kern w:val="2"/>
                          <w:sz w:val="24"/>
                          <w:szCs w:val="24"/>
                          <w:lang w:eastAsia="en-AU"/>
                          <w14:ligatures w14:val="standardContextual"/>
                        </w:rPr>
                      </w:pPr>
                      <w:hyperlink w:anchor="_Toc237525231" w:history="1">
                        <w:r w:rsidRPr="009A3D68">
                          <w:rPr>
                            <w:rStyle w:val="Hyperlink"/>
                            <w:b/>
                            <w:noProof/>
                          </w:rPr>
                          <w:t>RECOMMENDATION 2.</w:t>
                        </w:r>
                        <w:r w:rsidRPr="009A3D68">
                          <w:rPr>
                            <w:rStyle w:val="Hyperlink"/>
                            <w:noProof/>
                          </w:rPr>
                          <w:t xml:space="preserve"> Government, together with industry, should fund First Nations financial counsellors, legal services and ACCO</w:t>
                        </w:r>
                        <w:r w:rsidR="002063F5">
                          <w:rPr>
                            <w:rStyle w:val="Hyperlink"/>
                            <w:noProof/>
                          </w:rPr>
                          <w:t>s</w:t>
                        </w:r>
                        <w:r w:rsidRPr="009A3D68">
                          <w:rPr>
                            <w:rStyle w:val="Hyperlink"/>
                            <w:noProof/>
                          </w:rPr>
                          <w:t>.</w:t>
                        </w:r>
                      </w:hyperlink>
                    </w:p>
                    <w:p w14:paraId="020324F0"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2" w:history="1">
                        <w:r w:rsidRPr="009A3D68">
                          <w:rPr>
                            <w:rStyle w:val="Hyperlink"/>
                            <w:b/>
                            <w:noProof/>
                          </w:rPr>
                          <w:t>RECOMMENDATION 3.</w:t>
                        </w:r>
                        <w:r w:rsidRPr="009A3D68">
                          <w:rPr>
                            <w:rStyle w:val="Hyperlink"/>
                            <w:noProof/>
                          </w:rPr>
                          <w:t xml:space="preserve"> The codes should require regulated entities to maintain culturally safe and accessible alternatives to digital self-service. This should include dedicated First Nations customer support, access to trained staff, interpreter services, assisted complaint pathways and arrangements for face-to-face or community-based support where digital engagement is not readily available.</w:t>
                        </w:r>
                      </w:hyperlink>
                    </w:p>
                    <w:p w14:paraId="4DACAAE2"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3" w:history="1">
                        <w:r w:rsidRPr="009A3D68">
                          <w:rPr>
                            <w:rStyle w:val="Hyperlink"/>
                            <w:b/>
                            <w:noProof/>
                          </w:rPr>
                          <w:t>RECOMMENDATION 4.</w:t>
                        </w:r>
                        <w:r w:rsidRPr="009A3D68">
                          <w:rPr>
                            <w:rStyle w:val="Hyperlink"/>
                            <w:noProof/>
                          </w:rPr>
                          <w:t xml:space="preserve"> Banks should be required to investigate the full cultural and practical context before relying on card, PIN or credential sharing to reject a claim. They should also provide safer alternatives, such as culturally accessible account controls.</w:t>
                        </w:r>
                      </w:hyperlink>
                    </w:p>
                    <w:p w14:paraId="74247392"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4" w:history="1">
                        <w:r w:rsidRPr="009A3D68">
                          <w:rPr>
                            <w:rStyle w:val="Hyperlink"/>
                            <w:b/>
                            <w:noProof/>
                          </w:rPr>
                          <w:t>RECOMMENDATION 5.</w:t>
                        </w:r>
                        <w:r w:rsidRPr="009A3D68">
                          <w:rPr>
                            <w:rStyle w:val="Hyperlink"/>
                            <w:noProof/>
                          </w:rPr>
                          <w:t xml:space="preserve"> Scam warnings must be available in plain English and First Nations languages in accessible formats and should be developed together with First Nations organisations and communities. Information should also be delivered through trusted local channels such as ACCOs, Indigenous financial counsellors, local radio, community centres and face-to-face outreach.</w:t>
                        </w:r>
                      </w:hyperlink>
                    </w:p>
                    <w:p w14:paraId="3572A638"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5" w:history="1">
                        <w:r w:rsidRPr="009A3D68">
                          <w:rPr>
                            <w:rStyle w:val="Hyperlink"/>
                            <w:b/>
                            <w:noProof/>
                          </w:rPr>
                          <w:t>RECOMMENDATION 6.</w:t>
                        </w:r>
                        <w:r w:rsidRPr="009A3D68">
                          <w:rPr>
                            <w:rStyle w:val="Hyperlink"/>
                            <w:noProof/>
                          </w:rPr>
                          <w:t xml:space="preserve"> At a minimum, the SPF should require staff who make scam-prevention, account-restriction, complaint or compensation decisions to be trained to recognise structural and service-access barriers experienced by First Nations consumers, understand culturally specific approaches to sharing money and resources, communicate through interpreters and culturally safe channels, avoid blaming or shaming consumers, provide trauma-informed assistance and appropriate referrals, and work effectively with ACCOs, Indigenous financial counsellors and trusted support people.</w:t>
                        </w:r>
                      </w:hyperlink>
                    </w:p>
                    <w:p w14:paraId="0A5F87B1"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6" w:history="1">
                        <w:r w:rsidRPr="009A3D68">
                          <w:rPr>
                            <w:rStyle w:val="Hyperlink"/>
                            <w:b/>
                            <w:noProof/>
                          </w:rPr>
                          <w:t>RECOMMENDATION 7.</w:t>
                        </w:r>
                        <w:r w:rsidRPr="009A3D68">
                          <w:rPr>
                            <w:rStyle w:val="Hyperlink"/>
                            <w:noProof/>
                          </w:rPr>
                          <w:t xml:space="preserve"> Training content should be developed and review with First Nations-led organisations. Regulated entities should also be required to measure training effectiveness, rather than merely recording staff attendance.</w:t>
                        </w:r>
                      </w:hyperlink>
                    </w:p>
                    <w:p w14:paraId="0DE54082"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7" w:history="1">
                        <w:r w:rsidRPr="009A3D68">
                          <w:rPr>
                            <w:rStyle w:val="Hyperlink"/>
                            <w:b/>
                            <w:noProof/>
                          </w:rPr>
                          <w:t>RECOMMENDATION 8.</w:t>
                        </w:r>
                        <w:r w:rsidRPr="009A3D68">
                          <w:rPr>
                            <w:rStyle w:val="Hyperlink"/>
                            <w:noProof/>
                          </w:rPr>
                          <w:t xml:space="preserve"> Under the SPF's respond pillar, regulated entities should be required to provide culturally safe reporting and complaint pathways, developed in collaboration with First Nations organisations and communities.</w:t>
                        </w:r>
                      </w:hyperlink>
                    </w:p>
                    <w:p w14:paraId="2EE87F56" w14:textId="77777777" w:rsidR="008D0ACA" w:rsidRDefault="008D0ACA">
                      <w:pPr>
                        <w:pStyle w:val="TOC4"/>
                        <w:rPr>
                          <w:rFonts w:asciiTheme="minorHAnsi" w:hAnsiTheme="minorHAnsi"/>
                          <w:noProof/>
                          <w:color w:val="auto"/>
                          <w:kern w:val="2"/>
                          <w:sz w:val="24"/>
                          <w:szCs w:val="24"/>
                          <w:lang w:eastAsia="en-AU"/>
                          <w14:ligatures w14:val="standardContextual"/>
                        </w:rPr>
                      </w:pPr>
                      <w:hyperlink w:anchor="_Toc237525238" w:history="1">
                        <w:r w:rsidRPr="009A3D68">
                          <w:rPr>
                            <w:rStyle w:val="Hyperlink"/>
                            <w:b/>
                            <w:noProof/>
                          </w:rPr>
                          <w:t>RECOMMENDATION 9.</w:t>
                        </w:r>
                        <w:r w:rsidRPr="009A3D68">
                          <w:rPr>
                            <w:rStyle w:val="Hyperlink"/>
                            <w:noProof/>
                          </w:rPr>
                          <w:t xml:space="preserve"> The SPF codes should expressly recognise First Nations community identification cards as an acceptable form of identification and require banks and other regulated entities to offer alternative verification pathways.</w:t>
                        </w:r>
                      </w:hyperlink>
                    </w:p>
                    <w:p w14:paraId="7AB26D23" w14:textId="6D2C6A3B" w:rsidR="00BF560A" w:rsidRDefault="00842498" w:rsidP="00842498">
                      <w:r>
                        <w:rPr>
                          <w:b/>
                        </w:rPr>
                        <w:fldChar w:fldCharType="end"/>
                      </w:r>
                    </w:p>
                  </w:txbxContent>
                </v:textbox>
                <w10:wrap type="square"/>
              </v:roundrect>
            </w:pict>
          </mc:Fallback>
        </mc:AlternateContent>
      </w:r>
      <w:r w:rsidR="000550BF">
        <w:t>APPENDIX</w:t>
      </w:r>
      <w:r w:rsidR="009D7C6F">
        <w:t xml:space="preserve"> </w:t>
      </w:r>
      <w:r w:rsidR="00D5103C">
        <w:t>A - SUMMARY OF RECO</w:t>
      </w:r>
      <w:r w:rsidR="00B62DAC">
        <w:t>M</w:t>
      </w:r>
      <w:r w:rsidR="00D5103C">
        <w:t>MENDATION</w:t>
      </w:r>
      <w:r w:rsidR="00B1775F">
        <w:t>s</w:t>
      </w:r>
      <w:bookmarkEnd w:id="51"/>
    </w:p>
    <w:p w14:paraId="145D4020" w14:textId="7188477C" w:rsidR="00A72632" w:rsidRPr="00441A50" w:rsidRDefault="00A72632" w:rsidP="00A72632">
      <w:r>
        <w:t>P</w:t>
      </w:r>
      <w:r w:rsidRPr="00441A50">
        <w:t xml:space="preserve">lease contact </w:t>
      </w:r>
      <w:r>
        <w:t xml:space="preserve">Policy Officer </w:t>
      </w:r>
      <w:r w:rsidR="00A83177">
        <w:t>Pavithra Jayasekera</w:t>
      </w:r>
      <w:r>
        <w:t xml:space="preserve"> at </w:t>
      </w:r>
      <w:r w:rsidRPr="000A4B03">
        <w:rPr>
          <w:b/>
        </w:rPr>
        <w:t>Consumer Action Law Centre</w:t>
      </w:r>
      <w:r w:rsidRPr="00441A50">
        <w:t xml:space="preserve"> on </w:t>
      </w:r>
      <w:r w:rsidRPr="000A4B03">
        <w:rPr>
          <w:rFonts w:asciiTheme="minorHAnsi" w:hAnsiTheme="minorHAnsi" w:cstheme="minorHAnsi"/>
        </w:rPr>
        <w:t xml:space="preserve">03 </w:t>
      </w:r>
      <w:r w:rsidR="004C6FF4">
        <w:rPr>
          <w:rFonts w:asciiTheme="minorHAnsi" w:hAnsiTheme="minorHAnsi" w:cstheme="minorHAnsi"/>
        </w:rPr>
        <w:t>8554 69</w:t>
      </w:r>
      <w:r w:rsidR="00C438FC">
        <w:rPr>
          <w:rFonts w:asciiTheme="minorHAnsi" w:hAnsiTheme="minorHAnsi" w:cstheme="minorHAnsi"/>
        </w:rPr>
        <w:t>63</w:t>
      </w:r>
      <w:r w:rsidRPr="00441A50">
        <w:t xml:space="preserve"> or at </w:t>
      </w:r>
      <w:hyperlink r:id="rId15" w:history="1">
        <w:r w:rsidR="00A83177" w:rsidRPr="003A384F">
          <w:rPr>
            <w:rStyle w:val="Hyperlink"/>
          </w:rPr>
          <w:t>pavithra@consumeraction.org.au</w:t>
        </w:r>
      </w:hyperlink>
      <w:r w:rsidRPr="00441A50">
        <w:t xml:space="preserve"> if you </w:t>
      </w:r>
      <w:r>
        <w:t xml:space="preserve">have any questions about this submission. </w:t>
      </w:r>
    </w:p>
    <w:p w14:paraId="5871B55C" w14:textId="0CB67A2C" w:rsidR="00A72632" w:rsidRPr="00441A50" w:rsidRDefault="00A72632" w:rsidP="00A72632">
      <w:r w:rsidRPr="00441A50">
        <w:t xml:space="preserve">Yours </w:t>
      </w:r>
      <w:r w:rsidR="0014437A">
        <w:t>s</w:t>
      </w:r>
      <w:r w:rsidRPr="00441A50">
        <w:t>incerely,</w:t>
      </w:r>
    </w:p>
    <w:p w14:paraId="1D476AEF" w14:textId="77777777" w:rsidR="005569AB" w:rsidRDefault="005569AB" w:rsidP="005569AB">
      <w:pPr>
        <w:pStyle w:val="NoSpacing"/>
        <w:rPr>
          <w:b/>
        </w:rPr>
      </w:pPr>
    </w:p>
    <w:p w14:paraId="57DE0480" w14:textId="77777777" w:rsidR="005569AB" w:rsidRDefault="005569AB" w:rsidP="005569AB">
      <w:pPr>
        <w:pStyle w:val="NoSpacing"/>
        <w:rPr>
          <w:b/>
        </w:rPr>
      </w:pPr>
      <w:r w:rsidRPr="00CC6849">
        <w:rPr>
          <w:b/>
        </w:rPr>
        <w:t>CONSUMER ACTION LAW CENTRE</w:t>
      </w:r>
    </w:p>
    <w:p w14:paraId="7B5F8CBF" w14:textId="77777777" w:rsidR="00FA755C" w:rsidRDefault="00FA755C" w:rsidP="005569AB">
      <w:pPr>
        <w:pStyle w:val="NoSpacing"/>
        <w:rPr>
          <w:b/>
        </w:rPr>
      </w:pPr>
    </w:p>
    <w:p w14:paraId="3C8E7A6D" w14:textId="77777777" w:rsidR="00FA755C" w:rsidRDefault="00FA755C" w:rsidP="005569AB">
      <w:pPr>
        <w:pStyle w:val="NoSpacing"/>
        <w:rPr>
          <w:b/>
        </w:rPr>
      </w:pPr>
    </w:p>
    <w:p w14:paraId="0C324BDE" w14:textId="43AA99DC" w:rsidR="0049051D" w:rsidRPr="00642EDB" w:rsidRDefault="00842BEC" w:rsidP="0049051D">
      <w:pPr>
        <w:pStyle w:val="NoSpacing"/>
        <w:rPr>
          <w:b/>
          <w:lang w:val="en-AU"/>
        </w:rPr>
      </w:pPr>
      <w:sdt>
        <w:sdtPr>
          <w:rPr>
            <w:b/>
            <w:lang w:val="en-AU"/>
          </w:rPr>
          <w:id w:val="138926303"/>
          <w:placeholder>
            <w:docPart w:val="61B1A4854E214E629F766872629ABED8"/>
          </w:placeholder>
        </w:sdtPr>
        <w:sdtEndPr>
          <w:rPr>
            <w:bCs/>
          </w:rPr>
        </w:sdtEndPr>
        <w:sdtContent>
          <w:r w:rsidR="00D47D9A" w:rsidRPr="00642EDB">
            <w:rPr>
              <w:b/>
              <w:bCs/>
              <w:lang w:val="en-AU"/>
            </w:rPr>
            <w:t>Stephanie Tonkin</w:t>
          </w:r>
        </w:sdtContent>
      </w:sdt>
      <w:r w:rsidR="00FA755C" w:rsidRPr="00642EDB">
        <w:rPr>
          <w:b/>
          <w:bCs/>
          <w:lang w:val="en-AU"/>
        </w:rPr>
        <w:t xml:space="preserve"> | </w:t>
      </w:r>
      <w:r w:rsidR="00D47D9A" w:rsidRPr="00642EDB">
        <w:rPr>
          <w:b/>
          <w:bCs/>
          <w:lang w:val="en-AU"/>
        </w:rPr>
        <w:t>Chie</w:t>
      </w:r>
      <w:r w:rsidR="00642EDB" w:rsidRPr="00642EDB">
        <w:rPr>
          <w:b/>
          <w:bCs/>
          <w:lang w:val="en-AU"/>
        </w:rPr>
        <w:t>f Executive Officer</w:t>
      </w:r>
    </w:p>
    <w:sectPr w:rsidR="0049051D" w:rsidRPr="00642EDB" w:rsidSect="00DA11EC">
      <w:pgSz w:w="11906" w:h="16838"/>
      <w:pgMar w:top="1134" w:right="851" w:bottom="1134" w:left="85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B3D10" w14:textId="77777777" w:rsidR="00842BEC" w:rsidRDefault="00842BEC" w:rsidP="00860E69">
      <w:pPr>
        <w:spacing w:after="0" w:line="240" w:lineRule="auto"/>
      </w:pPr>
      <w:r>
        <w:separator/>
      </w:r>
    </w:p>
  </w:endnote>
  <w:endnote w:type="continuationSeparator" w:id="0">
    <w:p w14:paraId="4109B95C" w14:textId="77777777" w:rsidR="00842BEC" w:rsidRDefault="00842BEC" w:rsidP="0086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285" w:themeColor="accent1"/>
      </w:rPr>
      <w:id w:val="2091423800"/>
      <w:docPartObj>
        <w:docPartGallery w:val="Page Numbers (Bottom of Page)"/>
        <w:docPartUnique/>
      </w:docPartObj>
    </w:sdtPr>
    <w:sdtEndPr/>
    <w:sdtContent>
      <w:sdt>
        <w:sdtPr>
          <w:rPr>
            <w:color w:val="808285" w:themeColor="accent1"/>
          </w:rPr>
          <w:id w:val="1728636285"/>
          <w:docPartObj>
            <w:docPartGallery w:val="Page Numbers (Top of Page)"/>
            <w:docPartUnique/>
          </w:docPartObj>
        </w:sdtPr>
        <w:sdtEndPr/>
        <w:sdtContent>
          <w:p w14:paraId="7D1A5F43" w14:textId="77777777" w:rsidR="005E4871" w:rsidRPr="005E4871" w:rsidRDefault="005E4871">
            <w:pPr>
              <w:pStyle w:val="Footer"/>
              <w:jc w:val="center"/>
              <w:rPr>
                <w:color w:val="808285" w:themeColor="accent1"/>
              </w:rPr>
            </w:pPr>
            <w:r w:rsidRPr="005E4871">
              <w:rPr>
                <w:color w:val="808285" w:themeColor="accent1"/>
              </w:rPr>
              <w:t xml:space="preserve">Page </w:t>
            </w:r>
            <w:r w:rsidRPr="005E4871">
              <w:rPr>
                <w:b/>
                <w:bCs/>
                <w:color w:val="808285" w:themeColor="accent1"/>
                <w:sz w:val="24"/>
                <w:szCs w:val="24"/>
              </w:rPr>
              <w:fldChar w:fldCharType="begin"/>
            </w:r>
            <w:r w:rsidRPr="005E4871">
              <w:rPr>
                <w:b/>
                <w:bCs/>
                <w:color w:val="808285" w:themeColor="accent1"/>
              </w:rPr>
              <w:instrText xml:space="preserve"> PAGE </w:instrText>
            </w:r>
            <w:r w:rsidRPr="005E4871">
              <w:rPr>
                <w:b/>
                <w:bCs/>
                <w:color w:val="808285" w:themeColor="accent1"/>
                <w:sz w:val="24"/>
                <w:szCs w:val="24"/>
              </w:rPr>
              <w:fldChar w:fldCharType="separate"/>
            </w:r>
            <w:r w:rsidRPr="005E4871">
              <w:rPr>
                <w:b/>
                <w:bCs/>
                <w:noProof/>
                <w:color w:val="808285" w:themeColor="accent1"/>
              </w:rPr>
              <w:t>2</w:t>
            </w:r>
            <w:r w:rsidRPr="005E4871">
              <w:rPr>
                <w:b/>
                <w:bCs/>
                <w:color w:val="808285" w:themeColor="accent1"/>
                <w:sz w:val="24"/>
                <w:szCs w:val="24"/>
              </w:rPr>
              <w:fldChar w:fldCharType="end"/>
            </w:r>
            <w:r w:rsidRPr="005E4871">
              <w:rPr>
                <w:color w:val="808285" w:themeColor="accent1"/>
              </w:rPr>
              <w:t xml:space="preserve"> of </w:t>
            </w:r>
            <w:r w:rsidRPr="005E4871">
              <w:rPr>
                <w:b/>
                <w:bCs/>
                <w:color w:val="808285" w:themeColor="accent1"/>
                <w:sz w:val="24"/>
                <w:szCs w:val="24"/>
              </w:rPr>
              <w:fldChar w:fldCharType="begin"/>
            </w:r>
            <w:r w:rsidRPr="005E4871">
              <w:rPr>
                <w:b/>
                <w:bCs/>
                <w:color w:val="808285" w:themeColor="accent1"/>
              </w:rPr>
              <w:instrText xml:space="preserve"> NUMPAGES  </w:instrText>
            </w:r>
            <w:r w:rsidRPr="005E4871">
              <w:rPr>
                <w:b/>
                <w:bCs/>
                <w:color w:val="808285" w:themeColor="accent1"/>
                <w:sz w:val="24"/>
                <w:szCs w:val="24"/>
              </w:rPr>
              <w:fldChar w:fldCharType="separate"/>
            </w:r>
            <w:r w:rsidRPr="005E4871">
              <w:rPr>
                <w:b/>
                <w:bCs/>
                <w:noProof/>
                <w:color w:val="808285" w:themeColor="accent1"/>
              </w:rPr>
              <w:t>2</w:t>
            </w:r>
            <w:r w:rsidRPr="005E4871">
              <w:rPr>
                <w:b/>
                <w:bCs/>
                <w:color w:val="808285" w:themeColor="accent1"/>
                <w:sz w:val="24"/>
                <w:szCs w:val="24"/>
              </w:rPr>
              <w:fldChar w:fldCharType="end"/>
            </w:r>
          </w:p>
        </w:sdtContent>
      </w:sdt>
    </w:sdtContent>
  </w:sdt>
  <w:p w14:paraId="77C59688" w14:textId="77777777" w:rsidR="005E4871" w:rsidRDefault="005E48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285" w:themeColor="accent1"/>
      </w:rPr>
      <w:id w:val="-395516752"/>
      <w:docPartObj>
        <w:docPartGallery w:val="Page Numbers (Bottom of Page)"/>
        <w:docPartUnique/>
      </w:docPartObj>
    </w:sdtPr>
    <w:sdtEndPr/>
    <w:sdtContent>
      <w:sdt>
        <w:sdtPr>
          <w:rPr>
            <w:color w:val="808285" w:themeColor="accent1"/>
          </w:rPr>
          <w:id w:val="-419717040"/>
          <w:docPartObj>
            <w:docPartGallery w:val="Page Numbers (Top of Page)"/>
            <w:docPartUnique/>
          </w:docPartObj>
        </w:sdtPr>
        <w:sdtEndPr/>
        <w:sdtContent>
          <w:p w14:paraId="3C29D0D6" w14:textId="77777777" w:rsidR="00A13FD0" w:rsidRPr="002B40C3" w:rsidRDefault="00A13FD0">
            <w:pPr>
              <w:pStyle w:val="Footer"/>
              <w:jc w:val="center"/>
              <w:rPr>
                <w:color w:val="808285" w:themeColor="accent1"/>
              </w:rPr>
            </w:pPr>
            <w:r w:rsidRPr="002B40C3">
              <w:rPr>
                <w:color w:val="808285" w:themeColor="accent1"/>
              </w:rPr>
              <w:t xml:space="preserve">Page </w:t>
            </w:r>
            <w:r w:rsidRPr="002B40C3">
              <w:rPr>
                <w:b/>
                <w:bCs/>
                <w:color w:val="808285" w:themeColor="accent1"/>
                <w:sz w:val="24"/>
                <w:szCs w:val="24"/>
              </w:rPr>
              <w:fldChar w:fldCharType="begin"/>
            </w:r>
            <w:r w:rsidRPr="002B40C3">
              <w:rPr>
                <w:b/>
                <w:bCs/>
                <w:color w:val="808285" w:themeColor="accent1"/>
              </w:rPr>
              <w:instrText xml:space="preserve"> PAGE </w:instrText>
            </w:r>
            <w:r w:rsidRPr="002B40C3">
              <w:rPr>
                <w:b/>
                <w:bCs/>
                <w:color w:val="808285" w:themeColor="accent1"/>
                <w:sz w:val="24"/>
                <w:szCs w:val="24"/>
              </w:rPr>
              <w:fldChar w:fldCharType="separate"/>
            </w:r>
            <w:r w:rsidRPr="002B40C3">
              <w:rPr>
                <w:b/>
                <w:bCs/>
                <w:noProof/>
                <w:color w:val="808285" w:themeColor="accent1"/>
              </w:rPr>
              <w:t>2</w:t>
            </w:r>
            <w:r w:rsidRPr="002B40C3">
              <w:rPr>
                <w:b/>
                <w:bCs/>
                <w:color w:val="808285" w:themeColor="accent1"/>
                <w:sz w:val="24"/>
                <w:szCs w:val="24"/>
              </w:rPr>
              <w:fldChar w:fldCharType="end"/>
            </w:r>
            <w:r w:rsidRPr="002B40C3">
              <w:rPr>
                <w:color w:val="808285" w:themeColor="accent1"/>
              </w:rPr>
              <w:t xml:space="preserve"> of </w:t>
            </w:r>
            <w:r w:rsidRPr="002B40C3">
              <w:rPr>
                <w:b/>
                <w:bCs/>
                <w:color w:val="808285" w:themeColor="accent1"/>
                <w:sz w:val="24"/>
                <w:szCs w:val="24"/>
              </w:rPr>
              <w:fldChar w:fldCharType="begin"/>
            </w:r>
            <w:r w:rsidRPr="002B40C3">
              <w:rPr>
                <w:b/>
                <w:bCs/>
                <w:color w:val="808285" w:themeColor="accent1"/>
              </w:rPr>
              <w:instrText xml:space="preserve"> NUMPAGES  </w:instrText>
            </w:r>
            <w:r w:rsidRPr="002B40C3">
              <w:rPr>
                <w:b/>
                <w:bCs/>
                <w:color w:val="808285" w:themeColor="accent1"/>
                <w:sz w:val="24"/>
                <w:szCs w:val="24"/>
              </w:rPr>
              <w:fldChar w:fldCharType="separate"/>
            </w:r>
            <w:r w:rsidRPr="002B40C3">
              <w:rPr>
                <w:b/>
                <w:bCs/>
                <w:noProof/>
                <w:color w:val="808285" w:themeColor="accent1"/>
              </w:rPr>
              <w:t>2</w:t>
            </w:r>
            <w:r w:rsidRPr="002B40C3">
              <w:rPr>
                <w:b/>
                <w:bCs/>
                <w:color w:val="808285" w:themeColor="accent1"/>
                <w:sz w:val="24"/>
                <w:szCs w:val="24"/>
              </w:rPr>
              <w:fldChar w:fldCharType="end"/>
            </w:r>
          </w:p>
        </w:sdtContent>
      </w:sdt>
    </w:sdtContent>
  </w:sdt>
  <w:p w14:paraId="2B3D797C" w14:textId="77777777" w:rsidR="00FC0051" w:rsidRDefault="00166E6C">
    <w:pPr>
      <w:pStyle w:val="Footer"/>
    </w:pPr>
    <w:r>
      <w:rPr>
        <w:noProof/>
      </w:rPr>
      <w:drawing>
        <wp:anchor distT="0" distB="0" distL="114300" distR="114300" simplePos="0" relativeHeight="251658240" behindDoc="1" locked="0" layoutInCell="1" allowOverlap="1" wp14:anchorId="6237618F" wp14:editId="01A69101">
          <wp:simplePos x="0" y="0"/>
          <wp:positionH relativeFrom="column">
            <wp:posOffset>0</wp:posOffset>
          </wp:positionH>
          <wp:positionV relativeFrom="paragraph">
            <wp:posOffset>511715</wp:posOffset>
          </wp:positionV>
          <wp:extent cx="6479540" cy="1888490"/>
          <wp:effectExtent l="0" t="0" r="0" b="0"/>
          <wp:wrapNone/>
          <wp:docPr id="224391058" name="Picture 2243910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LC_Template_Header_Logo&amp;Contact.png"/>
                  <pic:cNvPicPr/>
                </pic:nvPicPr>
                <pic:blipFill>
                  <a:blip r:embed="rId1">
                    <a:extLst>
                      <a:ext uri="{28A0092B-C50C-407E-A947-70E740481C1C}">
                        <a14:useLocalDpi xmlns:a14="http://schemas.microsoft.com/office/drawing/2010/main" val="0"/>
                      </a:ext>
                    </a:extLst>
                  </a:blip>
                  <a:stretch>
                    <a:fillRect/>
                  </a:stretch>
                </pic:blipFill>
                <pic:spPr>
                  <a:xfrm>
                    <a:off x="0" y="0"/>
                    <a:ext cx="6479540" cy="18884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5999B" w14:textId="77777777" w:rsidR="00842BEC" w:rsidRDefault="00842BEC" w:rsidP="00860E69">
      <w:pPr>
        <w:spacing w:after="0" w:line="240" w:lineRule="auto"/>
      </w:pPr>
      <w:r>
        <w:separator/>
      </w:r>
    </w:p>
  </w:footnote>
  <w:footnote w:type="continuationSeparator" w:id="0">
    <w:p w14:paraId="139D0EC3" w14:textId="77777777" w:rsidR="00842BEC" w:rsidRDefault="00842BEC" w:rsidP="00860E69">
      <w:pPr>
        <w:spacing w:after="0" w:line="240" w:lineRule="auto"/>
      </w:pPr>
      <w:r>
        <w:continuationSeparator/>
      </w:r>
    </w:p>
  </w:footnote>
  <w:footnote w:id="1">
    <w:p w14:paraId="78C1CAE6" w14:textId="48F9D7FB" w:rsidR="003968E9" w:rsidRPr="00D15F2E" w:rsidRDefault="003968E9">
      <w:pPr>
        <w:pStyle w:val="FootnoteText"/>
        <w:rPr>
          <w:color w:val="auto"/>
        </w:rPr>
      </w:pPr>
      <w:r w:rsidRPr="00D15F2E">
        <w:rPr>
          <w:rStyle w:val="FootnoteReference"/>
          <w:color w:val="auto"/>
        </w:rPr>
        <w:footnoteRef/>
      </w:r>
      <w:r w:rsidRPr="00D15F2E">
        <w:rPr>
          <w:color w:val="auto"/>
        </w:rPr>
        <w:t xml:space="preserve"> </w:t>
      </w:r>
      <w:hyperlink r:id="rId1" w:history="1">
        <w:r w:rsidRPr="00D15F2E">
          <w:rPr>
            <w:rStyle w:val="Hyperlink"/>
            <w:color w:val="auto"/>
          </w:rPr>
          <w:t>National Anti-Scam Centre calls for continued action this Scams Awareness Week as scam losses trend up at $174M | ACCC</w:t>
        </w:r>
      </w:hyperlink>
      <w:r w:rsidR="001A72C2" w:rsidRPr="00D15F2E">
        <w:rPr>
          <w:color w:val="auto"/>
        </w:rPr>
        <w:t>.</w:t>
      </w:r>
    </w:p>
  </w:footnote>
  <w:footnote w:id="2">
    <w:p w14:paraId="2107AD84" w14:textId="33DFA235" w:rsidR="000A57F7" w:rsidRPr="00D15F2E" w:rsidRDefault="000A57F7">
      <w:pPr>
        <w:pStyle w:val="FootnoteText"/>
        <w:rPr>
          <w:color w:val="auto"/>
        </w:rPr>
      </w:pPr>
      <w:r w:rsidRPr="00D15F2E">
        <w:rPr>
          <w:rStyle w:val="FootnoteReference"/>
          <w:color w:val="auto"/>
        </w:rPr>
        <w:footnoteRef/>
      </w:r>
      <w:r w:rsidRPr="00D15F2E">
        <w:rPr>
          <w:color w:val="auto"/>
        </w:rPr>
        <w:t xml:space="preserve"> </w:t>
      </w:r>
      <w:hyperlink r:id="rId2" w:history="1">
        <w:r w:rsidR="00AF586A" w:rsidRPr="00D15F2E">
          <w:rPr>
            <w:rStyle w:val="Hyperlink"/>
            <w:color w:val="auto"/>
          </w:rPr>
          <w:t>Scam losses to culturally diverse communities, people with disability and Indigenous Australians almost doubled in 2021 | Scamwatch</w:t>
        </w:r>
      </w:hyperlink>
      <w:r w:rsidR="001A72C2" w:rsidRPr="00D15F2E">
        <w:rPr>
          <w:color w:val="auto"/>
        </w:rPr>
        <w:t>.</w:t>
      </w:r>
    </w:p>
  </w:footnote>
  <w:footnote w:id="3">
    <w:p w14:paraId="4A039393" w14:textId="255EA5EB" w:rsidR="00297663" w:rsidRPr="00D15F2E" w:rsidRDefault="00297663">
      <w:pPr>
        <w:pStyle w:val="FootnoteText"/>
        <w:rPr>
          <w:color w:val="auto"/>
        </w:rPr>
      </w:pPr>
      <w:r w:rsidRPr="00D15F2E">
        <w:rPr>
          <w:rStyle w:val="FootnoteReference"/>
          <w:color w:val="auto"/>
        </w:rPr>
        <w:footnoteRef/>
      </w:r>
      <w:r w:rsidRPr="00D15F2E">
        <w:rPr>
          <w:color w:val="auto"/>
        </w:rPr>
        <w:t xml:space="preserve"> </w:t>
      </w:r>
      <w:hyperlink r:id="rId3" w:history="1">
        <w:r w:rsidR="004D4CED" w:rsidRPr="00D15F2E">
          <w:rPr>
            <w:rStyle w:val="Hyperlink"/>
            <w:color w:val="auto"/>
          </w:rPr>
          <w:t>AFCA complaints reveal ongoing barriers for Aboriginal and Torres Strait Islander consumers | Australian Financial Complaints Authority (AFCA)</w:t>
        </w:r>
      </w:hyperlink>
      <w:r w:rsidR="001A72C2" w:rsidRPr="00D15F2E">
        <w:rPr>
          <w:color w:val="auto"/>
        </w:rPr>
        <w:t>.</w:t>
      </w:r>
    </w:p>
  </w:footnote>
  <w:footnote w:id="4">
    <w:p w14:paraId="0B2FDE98" w14:textId="3B0FF9F8" w:rsidR="00C72D13" w:rsidRPr="00D15F2E" w:rsidRDefault="00C72D13">
      <w:pPr>
        <w:pStyle w:val="FootnoteText"/>
        <w:rPr>
          <w:color w:val="auto"/>
        </w:rPr>
      </w:pPr>
      <w:r w:rsidRPr="00D15F2E">
        <w:rPr>
          <w:rStyle w:val="FootnoteReference"/>
          <w:color w:val="auto"/>
        </w:rPr>
        <w:footnoteRef/>
      </w:r>
      <w:r w:rsidRPr="00D15F2E">
        <w:rPr>
          <w:color w:val="auto"/>
        </w:rPr>
        <w:t xml:space="preserve"> </w:t>
      </w:r>
      <w:hyperlink r:id="rId4" w:history="1">
        <w:r w:rsidR="00F56335" w:rsidRPr="00D15F2E">
          <w:rPr>
            <w:rStyle w:val="Hyperlink"/>
            <w:color w:val="auto"/>
          </w:rPr>
          <w:t>New taskforce to tackle 'scambling' as fake online casinos target First Nations Australians | ACCC</w:t>
        </w:r>
      </w:hyperlink>
      <w:r w:rsidR="001A72C2" w:rsidRPr="00D15F2E">
        <w:rPr>
          <w:color w:val="auto"/>
        </w:rPr>
        <w:t>.</w:t>
      </w:r>
    </w:p>
  </w:footnote>
  <w:footnote w:id="5">
    <w:p w14:paraId="387628E5" w14:textId="6EF57183" w:rsidR="002454E3" w:rsidRPr="00D15F2E" w:rsidRDefault="002454E3">
      <w:pPr>
        <w:pStyle w:val="FootnoteText"/>
        <w:rPr>
          <w:color w:val="auto"/>
        </w:rPr>
      </w:pPr>
      <w:r w:rsidRPr="00D15F2E">
        <w:rPr>
          <w:rStyle w:val="FootnoteReference"/>
          <w:color w:val="auto"/>
        </w:rPr>
        <w:footnoteRef/>
      </w:r>
      <w:r w:rsidRPr="00D15F2E">
        <w:rPr>
          <w:color w:val="auto"/>
        </w:rPr>
        <w:t xml:space="preserve"> </w:t>
      </w:r>
      <w:hyperlink r:id="rId5" w:history="1">
        <w:r w:rsidRPr="00D15F2E">
          <w:rPr>
            <w:rStyle w:val="Hyperlink"/>
            <w:color w:val="auto"/>
          </w:rPr>
          <w:t>New Report: First Nations Australians twice as likely to be digitally excluded - Australian Digital Inclusion Index</w:t>
        </w:r>
      </w:hyperlink>
      <w:r w:rsidR="001A72C2" w:rsidRPr="00D15F2E">
        <w:rPr>
          <w:color w:val="auto"/>
        </w:rPr>
        <w:t>.</w:t>
      </w:r>
    </w:p>
  </w:footnote>
  <w:footnote w:id="6">
    <w:p w14:paraId="3ED74A40" w14:textId="5910A74C" w:rsidR="00EE18BC" w:rsidRPr="00D15F2E" w:rsidRDefault="00EE18BC">
      <w:pPr>
        <w:pStyle w:val="FootnoteText"/>
        <w:rPr>
          <w:color w:val="auto"/>
        </w:rPr>
      </w:pPr>
      <w:r w:rsidRPr="00D15F2E">
        <w:rPr>
          <w:rStyle w:val="FootnoteReference"/>
          <w:color w:val="auto"/>
        </w:rPr>
        <w:footnoteRef/>
      </w:r>
      <w:r w:rsidRPr="00D15F2E">
        <w:rPr>
          <w:color w:val="auto"/>
        </w:rPr>
        <w:t xml:space="preserve"> </w:t>
      </w:r>
      <w:hyperlink r:id="rId6" w:history="1">
        <w:r w:rsidR="002762AF" w:rsidRPr="00D15F2E">
          <w:rPr>
            <w:rStyle w:val="Hyperlink"/>
            <w:color w:val="auto"/>
          </w:rPr>
          <w:t>AFCA complaints reveal ongoing barriers for Aboriginal and Torres Strait Islander consumers | Australian Financial Complaints Authority (AFCA)</w:t>
        </w:r>
      </w:hyperlink>
      <w:r w:rsidR="001A72C2" w:rsidRPr="00D15F2E">
        <w:rPr>
          <w:color w:val="auto"/>
        </w:rPr>
        <w:t>.</w:t>
      </w:r>
    </w:p>
  </w:footnote>
  <w:footnote w:id="7">
    <w:p w14:paraId="54A13E94" w14:textId="6EEF006C" w:rsidR="000B5867" w:rsidRPr="00D15F2E" w:rsidRDefault="000B5867">
      <w:pPr>
        <w:pStyle w:val="FootnoteText"/>
        <w:rPr>
          <w:color w:val="auto"/>
        </w:rPr>
      </w:pPr>
      <w:r w:rsidRPr="00D15F2E">
        <w:rPr>
          <w:rStyle w:val="FootnoteReference"/>
          <w:color w:val="auto"/>
        </w:rPr>
        <w:footnoteRef/>
      </w:r>
      <w:r w:rsidRPr="00D15F2E">
        <w:rPr>
          <w:color w:val="auto"/>
        </w:rPr>
        <w:t xml:space="preserve"> </w:t>
      </w:r>
      <w:hyperlink r:id="rId7" w:history="1">
        <w:r w:rsidRPr="00D15F2E">
          <w:rPr>
            <w:rStyle w:val="Hyperlink"/>
            <w:color w:val="auto"/>
          </w:rPr>
          <w:t>The program helping remote First Nations Australians access banking</w:t>
        </w:r>
      </w:hyperlink>
      <w:r w:rsidR="001A72C2" w:rsidRPr="00D15F2E">
        <w:rPr>
          <w:color w:val="auto"/>
        </w:rPr>
        <w:t>.</w:t>
      </w:r>
    </w:p>
  </w:footnote>
  <w:footnote w:id="8">
    <w:p w14:paraId="609534A5" w14:textId="61F02C10" w:rsidR="00C04147" w:rsidRPr="00D15F2E" w:rsidRDefault="00C04147">
      <w:pPr>
        <w:pStyle w:val="FootnoteText"/>
        <w:rPr>
          <w:color w:val="auto"/>
        </w:rPr>
      </w:pPr>
      <w:r w:rsidRPr="00D15F2E">
        <w:rPr>
          <w:rStyle w:val="FootnoteReference"/>
          <w:color w:val="auto"/>
        </w:rPr>
        <w:footnoteRef/>
      </w:r>
      <w:r w:rsidRPr="00D15F2E">
        <w:rPr>
          <w:color w:val="auto"/>
        </w:rPr>
        <w:t xml:space="preserve"> </w:t>
      </w:r>
      <w:hyperlink r:id="rId8" w:history="1">
        <w:r w:rsidRPr="00D15F2E">
          <w:rPr>
            <w:rStyle w:val="Hyperlink"/>
            <w:color w:val="auto"/>
          </w:rPr>
          <w:t>ASIC's Indigenous Financial Services Framework</w:t>
        </w:r>
      </w:hyperlink>
      <w:r w:rsidR="001A72C2" w:rsidRPr="00D15F2E">
        <w:rPr>
          <w:color w:val="auto"/>
        </w:rPr>
        <w:t>.</w:t>
      </w:r>
    </w:p>
  </w:footnote>
  <w:footnote w:id="9">
    <w:p w14:paraId="3BCF3439" w14:textId="55D75354" w:rsidR="00FD402D" w:rsidRPr="00D15F2E" w:rsidRDefault="00FD402D">
      <w:pPr>
        <w:pStyle w:val="FootnoteText"/>
        <w:rPr>
          <w:color w:val="auto"/>
        </w:rPr>
      </w:pPr>
      <w:r w:rsidRPr="00D15F2E">
        <w:rPr>
          <w:rStyle w:val="FootnoteReference"/>
          <w:color w:val="auto"/>
        </w:rPr>
        <w:footnoteRef/>
      </w:r>
      <w:r w:rsidRPr="00D15F2E">
        <w:rPr>
          <w:color w:val="auto"/>
        </w:rPr>
        <w:t xml:space="preserve"> </w:t>
      </w:r>
      <w:hyperlink r:id="rId9" w:history="1">
        <w:r w:rsidRPr="00D15F2E">
          <w:rPr>
            <w:rStyle w:val="Hyperlink"/>
            <w:color w:val="auto"/>
          </w:rPr>
          <w:t>A path forward for First Nations people experiencing financial abuse</w:t>
        </w:r>
      </w:hyperlink>
      <w:r w:rsidR="001A72C2" w:rsidRPr="00D15F2E">
        <w:rPr>
          <w:color w:val="auto"/>
        </w:rPr>
        <w:t>.</w:t>
      </w:r>
    </w:p>
  </w:footnote>
  <w:footnote w:id="10">
    <w:p w14:paraId="2ADDD876" w14:textId="40A49E79" w:rsidR="000D664D" w:rsidRPr="00D15F2E" w:rsidRDefault="000D664D">
      <w:pPr>
        <w:pStyle w:val="FootnoteText"/>
        <w:rPr>
          <w:color w:val="auto"/>
        </w:rPr>
      </w:pPr>
      <w:r w:rsidRPr="00D15F2E">
        <w:rPr>
          <w:rStyle w:val="FootnoteReference"/>
          <w:color w:val="auto"/>
        </w:rPr>
        <w:footnoteRef/>
      </w:r>
      <w:r w:rsidRPr="00D15F2E">
        <w:rPr>
          <w:color w:val="auto"/>
        </w:rPr>
        <w:t xml:space="preserve"> </w:t>
      </w:r>
      <w:hyperlink r:id="rId10" w:history="1">
        <w:r w:rsidRPr="00D15F2E">
          <w:rPr>
            <w:rStyle w:val="Hyperlink"/>
            <w:color w:val="auto"/>
          </w:rPr>
          <w:t>ABA Industry Statement: Supporting Aboriginal and Torres Strait Islander peoples</w:t>
        </w:r>
      </w:hyperlink>
      <w:r w:rsidR="001A72C2" w:rsidRPr="00D15F2E">
        <w:rPr>
          <w:color w:val="auto"/>
        </w:rPr>
        <w:t>.</w:t>
      </w:r>
    </w:p>
  </w:footnote>
  <w:footnote w:id="11">
    <w:p w14:paraId="0C5F13A2" w14:textId="507AD26C" w:rsidR="000D3F1F" w:rsidRPr="00D15F2E" w:rsidRDefault="000D3F1F" w:rsidP="000D3F1F">
      <w:pPr>
        <w:pStyle w:val="FootnoteText"/>
        <w:rPr>
          <w:color w:val="auto"/>
        </w:rPr>
      </w:pPr>
      <w:r w:rsidRPr="00D15F2E">
        <w:rPr>
          <w:rStyle w:val="FootnoteReference"/>
          <w:color w:val="auto"/>
        </w:rPr>
        <w:footnoteRef/>
      </w:r>
      <w:r w:rsidRPr="00D15F2E">
        <w:rPr>
          <w:color w:val="auto"/>
        </w:rPr>
        <w:t xml:space="preserve"> </w:t>
      </w:r>
      <w:hyperlink r:id="rId11" w:history="1">
        <w:r w:rsidRPr="00D15F2E">
          <w:rPr>
            <w:rStyle w:val="Hyperlink"/>
            <w:color w:val="auto"/>
          </w:rPr>
          <w:t>Resources for First Nations peoples | Scamwatch</w:t>
        </w:r>
      </w:hyperlink>
      <w:r w:rsidR="0014437A" w:rsidRPr="00D15F2E">
        <w:rPr>
          <w:color w:val="auto"/>
        </w:rPr>
        <w:t>.</w:t>
      </w:r>
    </w:p>
  </w:footnote>
  <w:footnote w:id="12">
    <w:p w14:paraId="6DDB6D69" w14:textId="12E76968" w:rsidR="006B4600" w:rsidRPr="00D15F2E" w:rsidRDefault="006B4600">
      <w:pPr>
        <w:pStyle w:val="FootnoteText"/>
        <w:rPr>
          <w:color w:val="auto"/>
        </w:rPr>
      </w:pPr>
      <w:r w:rsidRPr="00D15F2E">
        <w:rPr>
          <w:rStyle w:val="FootnoteReference"/>
          <w:color w:val="auto"/>
        </w:rPr>
        <w:footnoteRef/>
      </w:r>
      <w:r w:rsidRPr="00D15F2E">
        <w:rPr>
          <w:color w:val="auto"/>
        </w:rPr>
        <w:t xml:space="preserve"> </w:t>
      </w:r>
      <w:hyperlink r:id="rId12" w:history="1">
        <w:r w:rsidR="00F71BDB" w:rsidRPr="00D15F2E">
          <w:rPr>
            <w:rStyle w:val="Hyperlink"/>
            <w:color w:val="auto"/>
          </w:rPr>
          <w:t>AFCA Engagement with First Nations peoples | Australian Financial Complaints Authority (AFCA)</w:t>
        </w:r>
      </w:hyperlink>
      <w:r w:rsidR="0014437A" w:rsidRPr="00D15F2E">
        <w:rPr>
          <w:color w:val="auto"/>
        </w:rPr>
        <w:t>.</w:t>
      </w:r>
    </w:p>
  </w:footnote>
  <w:footnote w:id="13">
    <w:p w14:paraId="62C60C19" w14:textId="52C36B09" w:rsidR="00944814" w:rsidRPr="00D15F2E" w:rsidRDefault="00944814">
      <w:pPr>
        <w:pStyle w:val="FootnoteText"/>
        <w:rPr>
          <w:color w:val="auto"/>
        </w:rPr>
      </w:pPr>
      <w:r w:rsidRPr="00D15F2E">
        <w:rPr>
          <w:rStyle w:val="FootnoteReference"/>
          <w:color w:val="auto"/>
        </w:rPr>
        <w:footnoteRef/>
      </w:r>
      <w:r w:rsidRPr="00D15F2E">
        <w:rPr>
          <w:color w:val="auto"/>
        </w:rPr>
        <w:t xml:space="preserve"> </w:t>
      </w:r>
      <w:hyperlink r:id="rId13" w:history="1">
        <w:r w:rsidRPr="00D15F2E">
          <w:rPr>
            <w:rStyle w:val="Hyperlink"/>
            <w:color w:val="auto"/>
          </w:rPr>
          <w:t>ABA-First-Nations-Community-ID-Factsheet.pdf</w:t>
        </w:r>
      </w:hyperlink>
      <w:r w:rsidR="0014437A" w:rsidRPr="00D15F2E">
        <w:rPr>
          <w:color w:val="auto"/>
        </w:rPr>
        <w:t>.</w:t>
      </w:r>
    </w:p>
  </w:footnote>
  <w:footnote w:id="14">
    <w:p w14:paraId="287C3252" w14:textId="2DEE1136" w:rsidR="00C12FEB" w:rsidRPr="00D15F2E" w:rsidRDefault="00C12FEB">
      <w:pPr>
        <w:pStyle w:val="FootnoteText"/>
        <w:rPr>
          <w:color w:val="auto"/>
        </w:rPr>
      </w:pPr>
      <w:r w:rsidRPr="00D15F2E">
        <w:rPr>
          <w:rStyle w:val="FootnoteReference"/>
          <w:color w:val="auto"/>
        </w:rPr>
        <w:footnoteRef/>
      </w:r>
      <w:r w:rsidRPr="00D15F2E">
        <w:rPr>
          <w:color w:val="auto"/>
        </w:rPr>
        <w:t xml:space="preserve"> Ibid</w:t>
      </w:r>
      <w:r w:rsidR="0014437A" w:rsidRPr="00D15F2E">
        <w:rPr>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18E1" w14:textId="77777777" w:rsidR="00123F63" w:rsidRDefault="00123F63">
    <w:pPr>
      <w:pStyle w:val="Header"/>
    </w:pPr>
    <w:r>
      <w:rPr>
        <w:noProof/>
      </w:rPr>
      <w:drawing>
        <wp:anchor distT="0" distB="0" distL="114300" distR="114300" simplePos="0" relativeHeight="251658242" behindDoc="1" locked="0" layoutInCell="1" allowOverlap="1" wp14:anchorId="65379395" wp14:editId="2025B903">
          <wp:simplePos x="0" y="0"/>
          <wp:positionH relativeFrom="column">
            <wp:posOffset>1476375</wp:posOffset>
          </wp:positionH>
          <wp:positionV relativeFrom="paragraph">
            <wp:posOffset>2315210</wp:posOffset>
          </wp:positionV>
          <wp:extent cx="5539798" cy="7200000"/>
          <wp:effectExtent l="0" t="0" r="3810" b="1270"/>
          <wp:wrapNone/>
          <wp:docPr id="1240163604" name="Picture 124016360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LC_Template_Background.png"/>
                  <pic:cNvPicPr/>
                </pic:nvPicPr>
                <pic:blipFill>
                  <a:blip r:embed="rId1">
                    <a:extLst>
                      <a:ext uri="{28A0092B-C50C-407E-A947-70E740481C1C}">
                        <a14:useLocalDpi xmlns:a14="http://schemas.microsoft.com/office/drawing/2010/main" val="0"/>
                      </a:ext>
                    </a:extLst>
                  </a:blip>
                  <a:stretch>
                    <a:fillRect/>
                  </a:stretch>
                </pic:blipFill>
                <pic:spPr>
                  <a:xfrm>
                    <a:off x="0" y="0"/>
                    <a:ext cx="5539798" cy="720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00ED" w14:textId="0E9FACD1" w:rsidR="00A13FD0" w:rsidRDefault="00022FA2">
    <w:pPr>
      <w:pStyle w:val="Header"/>
    </w:pPr>
    <w:r>
      <w:rPr>
        <w:noProof/>
      </w:rPr>
      <w:drawing>
        <wp:anchor distT="0" distB="0" distL="114300" distR="114300" simplePos="0" relativeHeight="251658243" behindDoc="1" locked="0" layoutInCell="1" allowOverlap="1" wp14:anchorId="6EB95F7E" wp14:editId="1EB5854D">
          <wp:simplePos x="0" y="0"/>
          <wp:positionH relativeFrom="margin">
            <wp:align>right</wp:align>
          </wp:positionH>
          <wp:positionV relativeFrom="paragraph">
            <wp:posOffset>-259715</wp:posOffset>
          </wp:positionV>
          <wp:extent cx="2286000" cy="2076450"/>
          <wp:effectExtent l="0" t="0" r="0" b="0"/>
          <wp:wrapNone/>
          <wp:docPr id="1105935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6636430D" wp14:editId="1834FD0C">
          <wp:simplePos x="0" y="0"/>
          <wp:positionH relativeFrom="margin">
            <wp:align>left</wp:align>
          </wp:positionH>
          <wp:positionV relativeFrom="paragraph">
            <wp:posOffset>264160</wp:posOffset>
          </wp:positionV>
          <wp:extent cx="2409825" cy="1009650"/>
          <wp:effectExtent l="0" t="0" r="9525" b="0"/>
          <wp:wrapNone/>
          <wp:docPr id="28520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982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3D86">
      <w:rPr>
        <w:noProof/>
      </w:rPr>
      <w:drawing>
        <wp:anchor distT="0" distB="0" distL="114300" distR="114300" simplePos="0" relativeHeight="251658241" behindDoc="1" locked="0" layoutInCell="1" allowOverlap="1" wp14:anchorId="6E1595F9" wp14:editId="4D275DA7">
          <wp:simplePos x="0" y="0"/>
          <wp:positionH relativeFrom="column">
            <wp:posOffset>1483360</wp:posOffset>
          </wp:positionH>
          <wp:positionV relativeFrom="paragraph">
            <wp:posOffset>2302510</wp:posOffset>
          </wp:positionV>
          <wp:extent cx="5539798" cy="7200000"/>
          <wp:effectExtent l="0" t="0" r="3810" b="1270"/>
          <wp:wrapNone/>
          <wp:docPr id="899950066" name="Picture 89995006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LC_Template_Background.png"/>
                  <pic:cNvPicPr/>
                </pic:nvPicPr>
                <pic:blipFill>
                  <a:blip r:embed="rId3">
                    <a:extLst>
                      <a:ext uri="{28A0092B-C50C-407E-A947-70E740481C1C}">
                        <a14:useLocalDpi xmlns:a14="http://schemas.microsoft.com/office/drawing/2010/main" val="0"/>
                      </a:ext>
                    </a:extLst>
                  </a:blip>
                  <a:stretch>
                    <a:fillRect/>
                  </a:stretch>
                </pic:blipFill>
                <pic:spPr>
                  <a:xfrm>
                    <a:off x="0" y="0"/>
                    <a:ext cx="5539798" cy="720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116"/>
    <w:multiLevelType w:val="multilevel"/>
    <w:tmpl w:val="7848F380"/>
    <w:lvl w:ilvl="0">
      <w:start w:val="1"/>
      <w:numFmt w:val="decimal"/>
      <w:lvlText w:val="%1."/>
      <w:lvlJc w:val="left"/>
      <w:pPr>
        <w:ind w:left="567" w:hanging="567"/>
      </w:pPr>
      <w:rPr>
        <w:rFonts w:hint="default"/>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07754083"/>
    <w:multiLevelType w:val="multilevel"/>
    <w:tmpl w:val="62A26FF6"/>
    <w:numStyleLink w:val="Style3"/>
  </w:abstractNum>
  <w:abstractNum w:abstractNumId="2" w15:restartNumberingAfterBreak="0">
    <w:nsid w:val="0EED4D2D"/>
    <w:multiLevelType w:val="multilevel"/>
    <w:tmpl w:val="8A7C40F8"/>
    <w:lvl w:ilvl="0">
      <w:start w:val="1"/>
      <w:numFmt w:val="decimal"/>
      <w:lvlText w:val="RECOMMENDATION %1."/>
      <w:lvlJc w:val="left"/>
      <w:pPr>
        <w:tabs>
          <w:tab w:val="num" w:pos="709"/>
        </w:tabs>
        <w:ind w:left="709" w:firstLine="0"/>
      </w:pPr>
      <w:rPr>
        <w:rFonts w:hint="default"/>
        <w:b/>
        <w:i w:val="0"/>
      </w:rPr>
    </w:lvl>
    <w:lvl w:ilvl="1">
      <w:start w:val="1"/>
      <w:numFmt w:val="bullet"/>
      <w:lvlText w:val=""/>
      <w:lvlJc w:val="left"/>
      <w:pPr>
        <w:ind w:left="1134" w:hanging="425"/>
      </w:pPr>
      <w:rPr>
        <w:rFonts w:ascii="Symbol" w:hAnsi="Symbol" w:hint="default"/>
        <w:color w:val="auto"/>
      </w:rPr>
    </w:lvl>
    <w:lvl w:ilvl="2">
      <w:start w:val="1"/>
      <w:numFmt w:val="lowerRoman"/>
      <w:lvlText w:val="%3."/>
      <w:lvlJc w:val="right"/>
      <w:pPr>
        <w:ind w:left="1701" w:firstLine="0"/>
      </w:pPr>
      <w:rPr>
        <w:rFonts w:hint="default"/>
      </w:rPr>
    </w:lvl>
    <w:lvl w:ilvl="3">
      <w:start w:val="1"/>
      <w:numFmt w:val="decimal"/>
      <w:lvlText w:val="%4."/>
      <w:lvlJc w:val="left"/>
      <w:pPr>
        <w:ind w:left="2268" w:firstLine="0"/>
      </w:pPr>
      <w:rPr>
        <w:rFonts w:hint="default"/>
      </w:rPr>
    </w:lvl>
    <w:lvl w:ilvl="4">
      <w:start w:val="1"/>
      <w:numFmt w:val="lowerLetter"/>
      <w:lvlText w:val="%5."/>
      <w:lvlJc w:val="left"/>
      <w:pPr>
        <w:ind w:left="2835" w:firstLine="0"/>
      </w:pPr>
      <w:rPr>
        <w:rFonts w:hint="default"/>
      </w:rPr>
    </w:lvl>
    <w:lvl w:ilvl="5">
      <w:start w:val="1"/>
      <w:numFmt w:val="lowerRoman"/>
      <w:lvlText w:val="%6."/>
      <w:lvlJc w:val="right"/>
      <w:pPr>
        <w:ind w:left="3402" w:firstLine="0"/>
      </w:pPr>
      <w:rPr>
        <w:rFonts w:hint="default"/>
      </w:rPr>
    </w:lvl>
    <w:lvl w:ilvl="6">
      <w:start w:val="1"/>
      <w:numFmt w:val="decimal"/>
      <w:lvlText w:val="%7."/>
      <w:lvlJc w:val="left"/>
      <w:pPr>
        <w:ind w:left="3969" w:firstLine="0"/>
      </w:pPr>
      <w:rPr>
        <w:rFonts w:hint="default"/>
      </w:rPr>
    </w:lvl>
    <w:lvl w:ilvl="7">
      <w:start w:val="1"/>
      <w:numFmt w:val="lowerLetter"/>
      <w:lvlText w:val="%8."/>
      <w:lvlJc w:val="left"/>
      <w:pPr>
        <w:ind w:left="4536" w:firstLine="0"/>
      </w:pPr>
      <w:rPr>
        <w:rFonts w:hint="default"/>
      </w:rPr>
    </w:lvl>
    <w:lvl w:ilvl="8">
      <w:start w:val="1"/>
      <w:numFmt w:val="lowerRoman"/>
      <w:lvlText w:val="%9."/>
      <w:lvlJc w:val="right"/>
      <w:pPr>
        <w:ind w:left="5103" w:firstLine="0"/>
      </w:pPr>
      <w:rPr>
        <w:rFonts w:hint="default"/>
      </w:rPr>
    </w:lvl>
  </w:abstractNum>
  <w:abstractNum w:abstractNumId="3" w15:restartNumberingAfterBreak="0">
    <w:nsid w:val="1A51592A"/>
    <w:multiLevelType w:val="multilevel"/>
    <w:tmpl w:val="DCF2CBD4"/>
    <w:numStyleLink w:val="Style1"/>
  </w:abstractNum>
  <w:abstractNum w:abstractNumId="4" w15:restartNumberingAfterBreak="0">
    <w:nsid w:val="1E887231"/>
    <w:multiLevelType w:val="multilevel"/>
    <w:tmpl w:val="62A26FF6"/>
    <w:styleLink w:val="Style3"/>
    <w:lvl w:ilvl="0">
      <w:start w:val="1"/>
      <w:numFmt w:val="decimal"/>
      <w:pStyle w:val="ListParagraph"/>
      <w:lvlText w:val="%1."/>
      <w:lvlJc w:val="left"/>
      <w:pPr>
        <w:ind w:left="567" w:hanging="567"/>
      </w:pPr>
      <w:rPr>
        <w:rFonts w:hint="default"/>
      </w:rPr>
    </w:lvl>
    <w:lvl w:ilvl="1">
      <w:start w:val="1"/>
      <w:numFmt w:val="bullet"/>
      <w:lvlRestart w:val="0"/>
      <w:pStyle w:val="BulletPoints"/>
      <w:lvlText w:val=""/>
      <w:lvlJc w:val="left"/>
      <w:pPr>
        <w:ind w:left="992" w:hanging="425"/>
      </w:pPr>
      <w:rPr>
        <w:rFonts w:ascii="Symbol" w:hAnsi="Symbol" w:hint="default"/>
        <w:color w:val="auto"/>
      </w:rPr>
    </w:lvl>
    <w:lvl w:ilvl="2">
      <w:start w:val="1"/>
      <w:numFmt w:val="bullet"/>
      <w:lvlRestart w:val="0"/>
      <w:lvlText w:val="o"/>
      <w:lvlJc w:val="left"/>
      <w:pPr>
        <w:ind w:left="1418" w:hanging="426"/>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F6C1F99"/>
    <w:multiLevelType w:val="multilevel"/>
    <w:tmpl w:val="06CAB0E2"/>
    <w:styleLink w:val="RECOMMENDATION"/>
    <w:lvl w:ilvl="0">
      <w:start w:val="1"/>
      <w:numFmt w:val="decimal"/>
      <w:lvlText w:val="RECOMMENDATION %1."/>
      <w:lvlJc w:val="left"/>
      <w:pPr>
        <w:ind w:left="3119" w:hanging="2410"/>
      </w:pPr>
      <w:rPr>
        <w:rFonts w:hint="default"/>
        <w:b/>
        <w:i w:val="0"/>
      </w:rPr>
    </w:lvl>
    <w:lvl w:ilvl="1">
      <w:start w:val="1"/>
      <w:numFmt w:val="bullet"/>
      <w:lvlRestart w:val="0"/>
      <w:lvlText w:val=""/>
      <w:lvlJc w:val="left"/>
      <w:pPr>
        <w:ind w:left="3544" w:hanging="425"/>
      </w:pPr>
      <w:rPr>
        <w:rFonts w:ascii="Symbol" w:hAnsi="Symbol" w:hint="default"/>
        <w:color w:val="auto"/>
      </w:rPr>
    </w:lvl>
    <w:lvl w:ilvl="2">
      <w:start w:val="1"/>
      <w:numFmt w:val="lowerRoman"/>
      <w:lvlText w:val="%3."/>
      <w:lvlJc w:val="right"/>
      <w:pPr>
        <w:ind w:left="1701" w:firstLine="0"/>
      </w:pPr>
      <w:rPr>
        <w:rFonts w:hint="default"/>
      </w:rPr>
    </w:lvl>
    <w:lvl w:ilvl="3">
      <w:start w:val="1"/>
      <w:numFmt w:val="decimal"/>
      <w:lvlText w:val="%4."/>
      <w:lvlJc w:val="left"/>
      <w:pPr>
        <w:ind w:left="2268" w:firstLine="0"/>
      </w:pPr>
      <w:rPr>
        <w:rFonts w:hint="default"/>
      </w:rPr>
    </w:lvl>
    <w:lvl w:ilvl="4">
      <w:start w:val="1"/>
      <w:numFmt w:val="lowerLetter"/>
      <w:lvlText w:val="%5."/>
      <w:lvlJc w:val="left"/>
      <w:pPr>
        <w:ind w:left="2835" w:firstLine="0"/>
      </w:pPr>
      <w:rPr>
        <w:rFonts w:hint="default"/>
      </w:rPr>
    </w:lvl>
    <w:lvl w:ilvl="5">
      <w:start w:val="1"/>
      <w:numFmt w:val="lowerRoman"/>
      <w:lvlText w:val="%6."/>
      <w:lvlJc w:val="right"/>
      <w:pPr>
        <w:ind w:left="3402" w:firstLine="0"/>
      </w:pPr>
      <w:rPr>
        <w:rFonts w:hint="default"/>
      </w:rPr>
    </w:lvl>
    <w:lvl w:ilvl="6">
      <w:start w:val="1"/>
      <w:numFmt w:val="decimal"/>
      <w:lvlText w:val="%7."/>
      <w:lvlJc w:val="left"/>
      <w:pPr>
        <w:ind w:left="3969" w:firstLine="0"/>
      </w:pPr>
      <w:rPr>
        <w:rFonts w:hint="default"/>
      </w:rPr>
    </w:lvl>
    <w:lvl w:ilvl="7">
      <w:start w:val="1"/>
      <w:numFmt w:val="lowerLetter"/>
      <w:lvlText w:val="%8."/>
      <w:lvlJc w:val="left"/>
      <w:pPr>
        <w:ind w:left="4536" w:firstLine="0"/>
      </w:pPr>
      <w:rPr>
        <w:rFonts w:hint="default"/>
      </w:rPr>
    </w:lvl>
    <w:lvl w:ilvl="8">
      <w:start w:val="1"/>
      <w:numFmt w:val="lowerRoman"/>
      <w:lvlText w:val="%9."/>
      <w:lvlJc w:val="right"/>
      <w:pPr>
        <w:ind w:left="5103" w:firstLine="0"/>
      </w:pPr>
      <w:rPr>
        <w:rFonts w:hint="default"/>
      </w:rPr>
    </w:lvl>
  </w:abstractNum>
  <w:abstractNum w:abstractNumId="6" w15:restartNumberingAfterBreak="0">
    <w:nsid w:val="203F434D"/>
    <w:multiLevelType w:val="multilevel"/>
    <w:tmpl w:val="62523F3A"/>
    <w:lvl w:ilvl="0">
      <w:start w:val="1"/>
      <w:numFmt w:val="decimal"/>
      <w:lvlText w:val="RECOMMENDATION %1."/>
      <w:lvlJc w:val="left"/>
      <w:pPr>
        <w:ind w:left="709" w:firstLine="0"/>
      </w:pPr>
      <w:rPr>
        <w:rFonts w:hint="default"/>
        <w:b/>
        <w:i w:val="0"/>
      </w:rPr>
    </w:lvl>
    <w:lvl w:ilvl="1">
      <w:start w:val="1"/>
      <w:numFmt w:val="bullet"/>
      <w:lvlRestart w:val="0"/>
      <w:lvlText w:val=""/>
      <w:lvlJc w:val="left"/>
      <w:pPr>
        <w:ind w:left="2126" w:hanging="425"/>
      </w:pPr>
      <w:rPr>
        <w:rFonts w:ascii="Symbol" w:hAnsi="Symbol" w:hint="default"/>
        <w:color w:val="auto"/>
      </w:rPr>
    </w:lvl>
    <w:lvl w:ilvl="2">
      <w:start w:val="1"/>
      <w:numFmt w:val="lowerRoman"/>
      <w:lvlText w:val="%3."/>
      <w:lvlJc w:val="right"/>
      <w:pPr>
        <w:ind w:left="1701" w:firstLine="0"/>
      </w:pPr>
      <w:rPr>
        <w:rFonts w:hint="default"/>
      </w:rPr>
    </w:lvl>
    <w:lvl w:ilvl="3">
      <w:start w:val="1"/>
      <w:numFmt w:val="decimal"/>
      <w:lvlText w:val="%4."/>
      <w:lvlJc w:val="left"/>
      <w:pPr>
        <w:ind w:left="2268" w:firstLine="0"/>
      </w:pPr>
      <w:rPr>
        <w:rFonts w:hint="default"/>
      </w:rPr>
    </w:lvl>
    <w:lvl w:ilvl="4">
      <w:start w:val="1"/>
      <w:numFmt w:val="lowerLetter"/>
      <w:lvlText w:val="%5."/>
      <w:lvlJc w:val="left"/>
      <w:pPr>
        <w:ind w:left="2835" w:firstLine="0"/>
      </w:pPr>
      <w:rPr>
        <w:rFonts w:hint="default"/>
      </w:rPr>
    </w:lvl>
    <w:lvl w:ilvl="5">
      <w:start w:val="1"/>
      <w:numFmt w:val="lowerRoman"/>
      <w:lvlText w:val="%6."/>
      <w:lvlJc w:val="right"/>
      <w:pPr>
        <w:ind w:left="3402" w:firstLine="0"/>
      </w:pPr>
      <w:rPr>
        <w:rFonts w:hint="default"/>
      </w:rPr>
    </w:lvl>
    <w:lvl w:ilvl="6">
      <w:start w:val="1"/>
      <w:numFmt w:val="decimal"/>
      <w:lvlText w:val="%7."/>
      <w:lvlJc w:val="left"/>
      <w:pPr>
        <w:ind w:left="3969" w:firstLine="0"/>
      </w:pPr>
      <w:rPr>
        <w:rFonts w:hint="default"/>
      </w:rPr>
    </w:lvl>
    <w:lvl w:ilvl="7">
      <w:start w:val="1"/>
      <w:numFmt w:val="lowerLetter"/>
      <w:lvlText w:val="%8."/>
      <w:lvlJc w:val="left"/>
      <w:pPr>
        <w:ind w:left="4536" w:firstLine="0"/>
      </w:pPr>
      <w:rPr>
        <w:rFonts w:hint="default"/>
      </w:rPr>
    </w:lvl>
    <w:lvl w:ilvl="8">
      <w:start w:val="1"/>
      <w:numFmt w:val="lowerRoman"/>
      <w:lvlText w:val="%9."/>
      <w:lvlJc w:val="right"/>
      <w:pPr>
        <w:ind w:left="5103" w:firstLine="0"/>
      </w:pPr>
      <w:rPr>
        <w:rFonts w:hint="default"/>
      </w:rPr>
    </w:lvl>
  </w:abstractNum>
  <w:abstractNum w:abstractNumId="7" w15:restartNumberingAfterBreak="0">
    <w:nsid w:val="23826EF8"/>
    <w:multiLevelType w:val="multilevel"/>
    <w:tmpl w:val="DCF2CBD4"/>
    <w:numStyleLink w:val="Style1"/>
  </w:abstractNum>
  <w:abstractNum w:abstractNumId="8" w15:restartNumberingAfterBreak="0">
    <w:nsid w:val="25C53072"/>
    <w:multiLevelType w:val="hybridMultilevel"/>
    <w:tmpl w:val="3DF66B14"/>
    <w:lvl w:ilvl="0" w:tplc="25F23E30">
      <w:start w:val="15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16454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CB7102"/>
    <w:multiLevelType w:val="multilevel"/>
    <w:tmpl w:val="5C324EC4"/>
    <w:lvl w:ilvl="0">
      <w:start w:val="1"/>
      <w:numFmt w:val="decimal"/>
      <w:lvlText w:val="RECOMMENDATION %1."/>
      <w:lvlJc w:val="left"/>
      <w:pPr>
        <w:ind w:left="3119" w:hanging="2410"/>
      </w:pPr>
      <w:rPr>
        <w:rFonts w:hint="default"/>
        <w:b/>
        <w:i w:val="0"/>
      </w:rPr>
    </w:lvl>
    <w:lvl w:ilvl="1">
      <w:start w:val="1"/>
      <w:numFmt w:val="bullet"/>
      <w:lvlRestart w:val="0"/>
      <w:lvlText w:val=""/>
      <w:lvlJc w:val="left"/>
      <w:pPr>
        <w:ind w:left="3544" w:hanging="425"/>
      </w:pPr>
      <w:rPr>
        <w:rFonts w:ascii="Symbol" w:hAnsi="Symbol" w:hint="default"/>
        <w:color w:val="auto"/>
      </w:rPr>
    </w:lvl>
    <w:lvl w:ilvl="2">
      <w:start w:val="1"/>
      <w:numFmt w:val="lowerRoman"/>
      <w:lvlText w:val="%3."/>
      <w:lvlJc w:val="right"/>
      <w:pPr>
        <w:ind w:left="1701" w:firstLine="0"/>
      </w:pPr>
      <w:rPr>
        <w:rFonts w:hint="default"/>
      </w:rPr>
    </w:lvl>
    <w:lvl w:ilvl="3">
      <w:start w:val="1"/>
      <w:numFmt w:val="decimal"/>
      <w:lvlText w:val="%4."/>
      <w:lvlJc w:val="left"/>
      <w:pPr>
        <w:ind w:left="2268" w:firstLine="0"/>
      </w:pPr>
      <w:rPr>
        <w:rFonts w:hint="default"/>
      </w:rPr>
    </w:lvl>
    <w:lvl w:ilvl="4">
      <w:start w:val="1"/>
      <w:numFmt w:val="lowerLetter"/>
      <w:lvlText w:val="%5."/>
      <w:lvlJc w:val="left"/>
      <w:pPr>
        <w:ind w:left="2835" w:firstLine="0"/>
      </w:pPr>
      <w:rPr>
        <w:rFonts w:hint="default"/>
      </w:rPr>
    </w:lvl>
    <w:lvl w:ilvl="5">
      <w:start w:val="1"/>
      <w:numFmt w:val="lowerRoman"/>
      <w:lvlText w:val="%6."/>
      <w:lvlJc w:val="right"/>
      <w:pPr>
        <w:ind w:left="3402" w:firstLine="0"/>
      </w:pPr>
      <w:rPr>
        <w:rFonts w:hint="default"/>
      </w:rPr>
    </w:lvl>
    <w:lvl w:ilvl="6">
      <w:start w:val="1"/>
      <w:numFmt w:val="decimal"/>
      <w:lvlText w:val="%7."/>
      <w:lvlJc w:val="left"/>
      <w:pPr>
        <w:ind w:left="3969" w:firstLine="0"/>
      </w:pPr>
      <w:rPr>
        <w:rFonts w:hint="default"/>
      </w:rPr>
    </w:lvl>
    <w:lvl w:ilvl="7">
      <w:start w:val="1"/>
      <w:numFmt w:val="lowerLetter"/>
      <w:lvlText w:val="%8."/>
      <w:lvlJc w:val="left"/>
      <w:pPr>
        <w:ind w:left="4536" w:firstLine="0"/>
      </w:pPr>
      <w:rPr>
        <w:rFonts w:hint="default"/>
      </w:rPr>
    </w:lvl>
    <w:lvl w:ilvl="8">
      <w:start w:val="1"/>
      <w:numFmt w:val="lowerRoman"/>
      <w:lvlText w:val="%9."/>
      <w:lvlJc w:val="right"/>
      <w:pPr>
        <w:ind w:left="5103" w:firstLine="0"/>
      </w:pPr>
      <w:rPr>
        <w:rFonts w:hint="default"/>
      </w:rPr>
    </w:lvl>
  </w:abstractNum>
  <w:abstractNum w:abstractNumId="11" w15:restartNumberingAfterBreak="0">
    <w:nsid w:val="2E2E477F"/>
    <w:multiLevelType w:val="multilevel"/>
    <w:tmpl w:val="DCF2CBD4"/>
    <w:styleLink w:val="Style1"/>
    <w:lvl w:ilvl="0">
      <w:start w:val="1"/>
      <w:numFmt w:val="decimal"/>
      <w:lvlText w:val="RECOMMENDATION %1."/>
      <w:lvlJc w:val="left"/>
      <w:pPr>
        <w:ind w:left="2410" w:hanging="2410"/>
      </w:pPr>
      <w:rPr>
        <w:rFonts w:hint="default"/>
        <w:b/>
        <w:i w:val="0"/>
      </w:rPr>
    </w:lvl>
    <w:lvl w:ilvl="1">
      <w:start w:val="1"/>
      <w:numFmt w:val="bullet"/>
      <w:lvlText w:val=""/>
      <w:lvlJc w:val="left"/>
      <w:pPr>
        <w:ind w:left="2835" w:hanging="425"/>
      </w:pPr>
      <w:rPr>
        <w:rFonts w:ascii="Symbol" w:hAnsi="Symbol" w:hint="default"/>
        <w:color w:val="auto"/>
      </w:rPr>
    </w:lvl>
    <w:lvl w:ilvl="2">
      <w:start w:val="1"/>
      <w:numFmt w:val="lowerRoman"/>
      <w:lvlText w:val="%3."/>
      <w:lvlJc w:val="right"/>
      <w:pPr>
        <w:ind w:left="2673" w:hanging="180"/>
      </w:pPr>
      <w:rPr>
        <w:rFonts w:hint="default"/>
      </w:rPr>
    </w:lvl>
    <w:lvl w:ilvl="3">
      <w:start w:val="1"/>
      <w:numFmt w:val="decimal"/>
      <w:lvlText w:val="%4."/>
      <w:lvlJc w:val="left"/>
      <w:pPr>
        <w:ind w:left="3393" w:hanging="360"/>
      </w:pPr>
      <w:rPr>
        <w:rFonts w:hint="default"/>
      </w:rPr>
    </w:lvl>
    <w:lvl w:ilvl="4">
      <w:start w:val="1"/>
      <w:numFmt w:val="lowerLetter"/>
      <w:lvlText w:val="%5."/>
      <w:lvlJc w:val="left"/>
      <w:pPr>
        <w:ind w:left="4113" w:hanging="360"/>
      </w:pPr>
      <w:rPr>
        <w:rFonts w:hint="default"/>
      </w:rPr>
    </w:lvl>
    <w:lvl w:ilvl="5">
      <w:start w:val="1"/>
      <w:numFmt w:val="lowerRoman"/>
      <w:lvlText w:val="%6."/>
      <w:lvlJc w:val="right"/>
      <w:pPr>
        <w:ind w:left="4833" w:hanging="180"/>
      </w:pPr>
      <w:rPr>
        <w:rFonts w:hint="default"/>
      </w:rPr>
    </w:lvl>
    <w:lvl w:ilvl="6">
      <w:start w:val="1"/>
      <w:numFmt w:val="decimal"/>
      <w:lvlText w:val="%7."/>
      <w:lvlJc w:val="left"/>
      <w:pPr>
        <w:ind w:left="5553" w:hanging="360"/>
      </w:pPr>
      <w:rPr>
        <w:rFonts w:hint="default"/>
      </w:rPr>
    </w:lvl>
    <w:lvl w:ilvl="7">
      <w:start w:val="1"/>
      <w:numFmt w:val="lowerLetter"/>
      <w:lvlText w:val="%8."/>
      <w:lvlJc w:val="left"/>
      <w:pPr>
        <w:ind w:left="6273" w:hanging="360"/>
      </w:pPr>
      <w:rPr>
        <w:rFonts w:hint="default"/>
      </w:rPr>
    </w:lvl>
    <w:lvl w:ilvl="8">
      <w:start w:val="1"/>
      <w:numFmt w:val="lowerRoman"/>
      <w:lvlText w:val="%9."/>
      <w:lvlJc w:val="right"/>
      <w:pPr>
        <w:ind w:left="6993" w:hanging="180"/>
      </w:pPr>
      <w:rPr>
        <w:rFonts w:hint="default"/>
      </w:rPr>
    </w:lvl>
  </w:abstractNum>
  <w:abstractNum w:abstractNumId="12" w15:restartNumberingAfterBreak="0">
    <w:nsid w:val="338A6FBD"/>
    <w:multiLevelType w:val="multilevel"/>
    <w:tmpl w:val="9486632E"/>
    <w:styleLink w:val="Style2"/>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color w:val="auto"/>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34F26835"/>
    <w:multiLevelType w:val="multilevel"/>
    <w:tmpl w:val="06CAB0E2"/>
    <w:numStyleLink w:val="RECOMMENDATION"/>
  </w:abstractNum>
  <w:abstractNum w:abstractNumId="14" w15:restartNumberingAfterBreak="0">
    <w:nsid w:val="39790B25"/>
    <w:multiLevelType w:val="multilevel"/>
    <w:tmpl w:val="A03E09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6F40FA"/>
    <w:multiLevelType w:val="multilevel"/>
    <w:tmpl w:val="9486632E"/>
    <w:numStyleLink w:val="Style2"/>
  </w:abstractNum>
  <w:abstractNum w:abstractNumId="16" w15:restartNumberingAfterBreak="0">
    <w:nsid w:val="3DEA72F2"/>
    <w:multiLevelType w:val="multilevel"/>
    <w:tmpl w:val="981ABB04"/>
    <w:lvl w:ilvl="0">
      <w:start w:val="1"/>
      <w:numFmt w:val="decimal"/>
      <w:pStyle w:val="RECOMMENDATIONS"/>
      <w:suff w:val="space"/>
      <w:lvlText w:val="RECOMMENDATION %1."/>
      <w:lvlJc w:val="left"/>
      <w:pPr>
        <w:ind w:left="1276" w:hanging="1276"/>
      </w:pPr>
      <w:rPr>
        <w:rFonts w:hint="default"/>
        <w:b/>
        <w:i w:val="0"/>
      </w:rPr>
    </w:lvl>
    <w:lvl w:ilvl="1">
      <w:start w:val="1"/>
      <w:numFmt w:val="bullet"/>
      <w:lvlRestart w:val="0"/>
      <w:lvlText w:val=""/>
      <w:lvlJc w:val="left"/>
      <w:pPr>
        <w:ind w:left="1559" w:hanging="283"/>
      </w:pPr>
      <w:rPr>
        <w:rFonts w:ascii="Symbol" w:hAnsi="Symbol" w:hint="default"/>
        <w:color w:val="auto"/>
      </w:rPr>
    </w:lvl>
    <w:lvl w:ilvl="2">
      <w:start w:val="1"/>
      <w:numFmt w:val="lowerRoman"/>
      <w:lvlText w:val="%3."/>
      <w:lvlJc w:val="right"/>
      <w:pPr>
        <w:ind w:left="1701" w:firstLine="0"/>
      </w:pPr>
      <w:rPr>
        <w:rFonts w:hint="default"/>
      </w:rPr>
    </w:lvl>
    <w:lvl w:ilvl="3">
      <w:start w:val="1"/>
      <w:numFmt w:val="decimal"/>
      <w:lvlText w:val="%4."/>
      <w:lvlJc w:val="left"/>
      <w:pPr>
        <w:ind w:left="2268" w:firstLine="0"/>
      </w:pPr>
      <w:rPr>
        <w:rFonts w:hint="default"/>
      </w:rPr>
    </w:lvl>
    <w:lvl w:ilvl="4">
      <w:start w:val="1"/>
      <w:numFmt w:val="lowerLetter"/>
      <w:lvlText w:val="%5."/>
      <w:lvlJc w:val="left"/>
      <w:pPr>
        <w:ind w:left="2835" w:firstLine="0"/>
      </w:pPr>
      <w:rPr>
        <w:rFonts w:hint="default"/>
      </w:rPr>
    </w:lvl>
    <w:lvl w:ilvl="5">
      <w:start w:val="1"/>
      <w:numFmt w:val="lowerRoman"/>
      <w:lvlText w:val="%6."/>
      <w:lvlJc w:val="right"/>
      <w:pPr>
        <w:ind w:left="3402" w:firstLine="0"/>
      </w:pPr>
      <w:rPr>
        <w:rFonts w:hint="default"/>
      </w:rPr>
    </w:lvl>
    <w:lvl w:ilvl="6">
      <w:start w:val="1"/>
      <w:numFmt w:val="decimal"/>
      <w:lvlText w:val="%7."/>
      <w:lvlJc w:val="left"/>
      <w:pPr>
        <w:ind w:left="3969" w:firstLine="0"/>
      </w:pPr>
      <w:rPr>
        <w:rFonts w:hint="default"/>
      </w:rPr>
    </w:lvl>
    <w:lvl w:ilvl="7">
      <w:start w:val="1"/>
      <w:numFmt w:val="lowerLetter"/>
      <w:lvlText w:val="%8."/>
      <w:lvlJc w:val="left"/>
      <w:pPr>
        <w:ind w:left="4536" w:firstLine="0"/>
      </w:pPr>
      <w:rPr>
        <w:rFonts w:hint="default"/>
      </w:rPr>
    </w:lvl>
    <w:lvl w:ilvl="8">
      <w:start w:val="1"/>
      <w:numFmt w:val="lowerRoman"/>
      <w:lvlText w:val="%9."/>
      <w:lvlJc w:val="right"/>
      <w:pPr>
        <w:ind w:left="5103" w:firstLine="0"/>
      </w:pPr>
      <w:rPr>
        <w:rFonts w:hint="default"/>
      </w:rPr>
    </w:lvl>
  </w:abstractNum>
  <w:abstractNum w:abstractNumId="17" w15:restartNumberingAfterBreak="0">
    <w:nsid w:val="4484519C"/>
    <w:multiLevelType w:val="multilevel"/>
    <w:tmpl w:val="84C054A6"/>
    <w:lvl w:ilvl="0">
      <w:start w:val="1"/>
      <w:numFmt w:val="decimal"/>
      <w:lvlText w:val="RECOMMENDATION %1."/>
      <w:lvlJc w:val="left"/>
      <w:pPr>
        <w:ind w:left="709" w:firstLine="0"/>
      </w:pPr>
      <w:rPr>
        <w:rFonts w:hint="default"/>
        <w:b/>
        <w:i w:val="0"/>
      </w:rPr>
    </w:lvl>
    <w:lvl w:ilvl="1">
      <w:start w:val="1"/>
      <w:numFmt w:val="bullet"/>
      <w:lvlRestart w:val="0"/>
      <w:lvlText w:val=""/>
      <w:lvlJc w:val="left"/>
      <w:pPr>
        <w:ind w:left="2126" w:hanging="425"/>
      </w:pPr>
      <w:rPr>
        <w:rFonts w:ascii="Symbol" w:hAnsi="Symbol" w:hint="default"/>
        <w:color w:val="auto"/>
      </w:rPr>
    </w:lvl>
    <w:lvl w:ilvl="2">
      <w:start w:val="1"/>
      <w:numFmt w:val="lowerRoman"/>
      <w:lvlText w:val="%3."/>
      <w:lvlJc w:val="right"/>
      <w:pPr>
        <w:ind w:left="1701" w:firstLine="0"/>
      </w:pPr>
      <w:rPr>
        <w:rFonts w:hint="default"/>
      </w:rPr>
    </w:lvl>
    <w:lvl w:ilvl="3">
      <w:start w:val="1"/>
      <w:numFmt w:val="decimal"/>
      <w:lvlText w:val="%4."/>
      <w:lvlJc w:val="left"/>
      <w:pPr>
        <w:ind w:left="2268" w:firstLine="0"/>
      </w:pPr>
      <w:rPr>
        <w:rFonts w:hint="default"/>
      </w:rPr>
    </w:lvl>
    <w:lvl w:ilvl="4">
      <w:start w:val="1"/>
      <w:numFmt w:val="lowerLetter"/>
      <w:lvlText w:val="%5."/>
      <w:lvlJc w:val="left"/>
      <w:pPr>
        <w:ind w:left="2835" w:firstLine="0"/>
      </w:pPr>
      <w:rPr>
        <w:rFonts w:hint="default"/>
      </w:rPr>
    </w:lvl>
    <w:lvl w:ilvl="5">
      <w:start w:val="1"/>
      <w:numFmt w:val="lowerRoman"/>
      <w:lvlText w:val="%6."/>
      <w:lvlJc w:val="right"/>
      <w:pPr>
        <w:ind w:left="3402" w:firstLine="0"/>
      </w:pPr>
      <w:rPr>
        <w:rFonts w:hint="default"/>
      </w:rPr>
    </w:lvl>
    <w:lvl w:ilvl="6">
      <w:start w:val="1"/>
      <w:numFmt w:val="decimal"/>
      <w:lvlText w:val="%7."/>
      <w:lvlJc w:val="left"/>
      <w:pPr>
        <w:ind w:left="3969" w:firstLine="0"/>
      </w:pPr>
      <w:rPr>
        <w:rFonts w:hint="default"/>
      </w:rPr>
    </w:lvl>
    <w:lvl w:ilvl="7">
      <w:start w:val="1"/>
      <w:numFmt w:val="lowerLetter"/>
      <w:lvlText w:val="%8."/>
      <w:lvlJc w:val="left"/>
      <w:pPr>
        <w:ind w:left="4536" w:firstLine="0"/>
      </w:pPr>
      <w:rPr>
        <w:rFonts w:hint="default"/>
      </w:rPr>
    </w:lvl>
    <w:lvl w:ilvl="8">
      <w:start w:val="1"/>
      <w:numFmt w:val="lowerRoman"/>
      <w:lvlText w:val="%9."/>
      <w:lvlJc w:val="right"/>
      <w:pPr>
        <w:ind w:left="5103" w:firstLine="0"/>
      </w:pPr>
      <w:rPr>
        <w:rFonts w:hint="default"/>
      </w:rPr>
    </w:lvl>
  </w:abstractNum>
  <w:abstractNum w:abstractNumId="18" w15:restartNumberingAfterBreak="0">
    <w:nsid w:val="4AB835B9"/>
    <w:multiLevelType w:val="hybridMultilevel"/>
    <w:tmpl w:val="8C6A3980"/>
    <w:lvl w:ilvl="0" w:tplc="683663CC">
      <w:start w:val="1"/>
      <w:numFmt w:val="decimal"/>
      <w:pStyle w:val="Question"/>
      <w:lvlText w:val="Question %1."/>
      <w:lvlJc w:val="left"/>
      <w:pPr>
        <w:ind w:left="1287"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1F7D86"/>
    <w:multiLevelType w:val="hybridMultilevel"/>
    <w:tmpl w:val="BD02A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3C695E"/>
    <w:multiLevelType w:val="hybridMultilevel"/>
    <w:tmpl w:val="03BC7B1C"/>
    <w:lvl w:ilvl="0" w:tplc="4DE84AE6">
      <w:start w:val="1"/>
      <w:numFmt w:val="decimal"/>
      <w:lvlText w:val="Question %1."/>
      <w:lvlJc w:val="left"/>
      <w:pPr>
        <w:ind w:left="1287" w:hanging="360"/>
      </w:pPr>
      <w:rPr>
        <w:rFonts w:hint="default"/>
        <w:b/>
        <w:i/>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59F54F2B"/>
    <w:multiLevelType w:val="hybridMultilevel"/>
    <w:tmpl w:val="9C306894"/>
    <w:lvl w:ilvl="0" w:tplc="6BE81018">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231B8F"/>
    <w:multiLevelType w:val="multilevel"/>
    <w:tmpl w:val="06CAB0E2"/>
    <w:numStyleLink w:val="RECOMMENDATION"/>
  </w:abstractNum>
  <w:abstractNum w:abstractNumId="23" w15:restartNumberingAfterBreak="0">
    <w:nsid w:val="64B12EA9"/>
    <w:multiLevelType w:val="multilevel"/>
    <w:tmpl w:val="06CAB0E2"/>
    <w:numStyleLink w:val="RECOMMENDATION"/>
  </w:abstractNum>
  <w:abstractNum w:abstractNumId="24" w15:restartNumberingAfterBreak="0">
    <w:nsid w:val="70C467B1"/>
    <w:multiLevelType w:val="hybridMultilevel"/>
    <w:tmpl w:val="29D06352"/>
    <w:lvl w:ilvl="0" w:tplc="B51A2DAC">
      <w:start w:val="1"/>
      <w:numFmt w:val="decimal"/>
      <w:lvlText w:val="RECOMMENDATION %1."/>
      <w:lvlJc w:val="left"/>
      <w:pPr>
        <w:ind w:left="927"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1B5BD7"/>
    <w:multiLevelType w:val="hybridMultilevel"/>
    <w:tmpl w:val="3FE21058"/>
    <w:lvl w:ilvl="0" w:tplc="2E666D02">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E24561"/>
    <w:multiLevelType w:val="multilevel"/>
    <w:tmpl w:val="06CAB0E2"/>
    <w:numStyleLink w:val="RECOMMENDATION"/>
  </w:abstractNum>
  <w:num w:numId="1" w16cid:durableId="982004641">
    <w:abstractNumId w:val="21"/>
  </w:num>
  <w:num w:numId="2" w16cid:durableId="567347589">
    <w:abstractNumId w:val="25"/>
  </w:num>
  <w:num w:numId="3" w16cid:durableId="1802723600">
    <w:abstractNumId w:val="20"/>
  </w:num>
  <w:num w:numId="4" w16cid:durableId="1715424102">
    <w:abstractNumId w:val="24"/>
  </w:num>
  <w:num w:numId="5" w16cid:durableId="899249993">
    <w:abstractNumId w:val="11"/>
  </w:num>
  <w:num w:numId="6" w16cid:durableId="1991014178">
    <w:abstractNumId w:val="7"/>
  </w:num>
  <w:num w:numId="7" w16cid:durableId="1287589726">
    <w:abstractNumId w:val="5"/>
  </w:num>
  <w:num w:numId="8" w16cid:durableId="890387057">
    <w:abstractNumId w:val="22"/>
  </w:num>
  <w:num w:numId="9" w16cid:durableId="1536767250">
    <w:abstractNumId w:val="12"/>
  </w:num>
  <w:num w:numId="10" w16cid:durableId="1838692489">
    <w:abstractNumId w:val="15"/>
  </w:num>
  <w:num w:numId="11" w16cid:durableId="1272863427">
    <w:abstractNumId w:val="14"/>
  </w:num>
  <w:num w:numId="12" w16cid:durableId="726682711">
    <w:abstractNumId w:val="0"/>
  </w:num>
  <w:num w:numId="13" w16cid:durableId="2054422921">
    <w:abstractNumId w:val="8"/>
  </w:num>
  <w:num w:numId="14" w16cid:durableId="2010984140">
    <w:abstractNumId w:val="4"/>
  </w:num>
  <w:num w:numId="15" w16cid:durableId="159009800">
    <w:abstractNumId w:val="1"/>
  </w:num>
  <w:num w:numId="16" w16cid:durableId="1982156150">
    <w:abstractNumId w:val="1"/>
    <w:lvlOverride w:ilvl="0">
      <w:lvl w:ilvl="0">
        <w:start w:val="1"/>
        <w:numFmt w:val="decimal"/>
        <w:lvlText w:val="%1."/>
        <w:lvlJc w:val="left"/>
        <w:pPr>
          <w:ind w:left="720" w:hanging="720"/>
        </w:pPr>
        <w:rPr>
          <w:rFonts w:hint="default"/>
        </w:rPr>
      </w:lvl>
    </w:lvlOverride>
    <w:lvlOverride w:ilvl="1">
      <w:lvl w:ilvl="1">
        <w:start w:val="1"/>
        <w:numFmt w:val="bullet"/>
        <w:lvlText w:val=""/>
        <w:lvlJc w:val="left"/>
        <w:pPr>
          <w:ind w:left="1276" w:hanging="567"/>
        </w:pPr>
        <w:rPr>
          <w:rFonts w:ascii="Symbol" w:hAnsi="Symbol" w:hint="default"/>
          <w:color w:val="auto"/>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16cid:durableId="1501508924">
    <w:abstractNumId w:val="9"/>
  </w:num>
  <w:num w:numId="18" w16cid:durableId="152528531">
    <w:abstractNumId w:val="2"/>
  </w:num>
  <w:num w:numId="19" w16cid:durableId="2086490417">
    <w:abstractNumId w:val="23"/>
  </w:num>
  <w:num w:numId="20" w16cid:durableId="201133605">
    <w:abstractNumId w:val="17"/>
  </w:num>
  <w:num w:numId="21" w16cid:durableId="284434858">
    <w:abstractNumId w:val="6"/>
  </w:num>
  <w:num w:numId="22" w16cid:durableId="677074128">
    <w:abstractNumId w:val="13"/>
  </w:num>
  <w:num w:numId="23" w16cid:durableId="1930967386">
    <w:abstractNumId w:val="26"/>
  </w:num>
  <w:num w:numId="24" w16cid:durableId="727993254">
    <w:abstractNumId w:val="16"/>
  </w:num>
  <w:num w:numId="25" w16cid:durableId="1035889021">
    <w:abstractNumId w:val="3"/>
  </w:num>
  <w:num w:numId="26" w16cid:durableId="392117328">
    <w:abstractNumId w:val="10"/>
  </w:num>
  <w:num w:numId="27" w16cid:durableId="1295661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3510751">
    <w:abstractNumId w:val="18"/>
  </w:num>
  <w:num w:numId="29" w16cid:durableId="10355451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46842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5BA"/>
    <w:rsid w:val="000022A8"/>
    <w:rsid w:val="000100E7"/>
    <w:rsid w:val="00010211"/>
    <w:rsid w:val="00013789"/>
    <w:rsid w:val="0002062B"/>
    <w:rsid w:val="00022FA2"/>
    <w:rsid w:val="00023B8F"/>
    <w:rsid w:val="000325DD"/>
    <w:rsid w:val="00036AD0"/>
    <w:rsid w:val="0004084E"/>
    <w:rsid w:val="00043E23"/>
    <w:rsid w:val="00046B21"/>
    <w:rsid w:val="0005484B"/>
    <w:rsid w:val="000550BF"/>
    <w:rsid w:val="00064954"/>
    <w:rsid w:val="00064D90"/>
    <w:rsid w:val="00072A75"/>
    <w:rsid w:val="00072E19"/>
    <w:rsid w:val="00073884"/>
    <w:rsid w:val="0008117D"/>
    <w:rsid w:val="00081DC8"/>
    <w:rsid w:val="00082272"/>
    <w:rsid w:val="00082913"/>
    <w:rsid w:val="00085AC4"/>
    <w:rsid w:val="00086904"/>
    <w:rsid w:val="00095359"/>
    <w:rsid w:val="000953E6"/>
    <w:rsid w:val="000A0542"/>
    <w:rsid w:val="000A57F7"/>
    <w:rsid w:val="000A6F69"/>
    <w:rsid w:val="000B0504"/>
    <w:rsid w:val="000B5867"/>
    <w:rsid w:val="000B6265"/>
    <w:rsid w:val="000C0882"/>
    <w:rsid w:val="000C24AA"/>
    <w:rsid w:val="000C7ED4"/>
    <w:rsid w:val="000D2FBE"/>
    <w:rsid w:val="000D3F1F"/>
    <w:rsid w:val="000D664D"/>
    <w:rsid w:val="000E652C"/>
    <w:rsid w:val="000E71C2"/>
    <w:rsid w:val="000F4FF3"/>
    <w:rsid w:val="000F539E"/>
    <w:rsid w:val="001073DE"/>
    <w:rsid w:val="00110BC9"/>
    <w:rsid w:val="001137DA"/>
    <w:rsid w:val="0011463F"/>
    <w:rsid w:val="00114EB4"/>
    <w:rsid w:val="00115320"/>
    <w:rsid w:val="00120663"/>
    <w:rsid w:val="00123F63"/>
    <w:rsid w:val="00125987"/>
    <w:rsid w:val="001308A0"/>
    <w:rsid w:val="00143DFB"/>
    <w:rsid w:val="0014437A"/>
    <w:rsid w:val="001452B6"/>
    <w:rsid w:val="00145796"/>
    <w:rsid w:val="00146B63"/>
    <w:rsid w:val="0014754D"/>
    <w:rsid w:val="00147ED3"/>
    <w:rsid w:val="001553BA"/>
    <w:rsid w:val="00155EDE"/>
    <w:rsid w:val="001564CD"/>
    <w:rsid w:val="00166E6C"/>
    <w:rsid w:val="00173E68"/>
    <w:rsid w:val="00176DCE"/>
    <w:rsid w:val="001774BD"/>
    <w:rsid w:val="00185C4E"/>
    <w:rsid w:val="00187055"/>
    <w:rsid w:val="00195DCF"/>
    <w:rsid w:val="0019641E"/>
    <w:rsid w:val="001A0F8B"/>
    <w:rsid w:val="001A2DE4"/>
    <w:rsid w:val="001A72C2"/>
    <w:rsid w:val="001A7507"/>
    <w:rsid w:val="001B4752"/>
    <w:rsid w:val="001B562E"/>
    <w:rsid w:val="001B5D00"/>
    <w:rsid w:val="001B759E"/>
    <w:rsid w:val="001C3C0A"/>
    <w:rsid w:val="001D2BCA"/>
    <w:rsid w:val="001D37A6"/>
    <w:rsid w:val="001D7A23"/>
    <w:rsid w:val="001F1949"/>
    <w:rsid w:val="001F47E3"/>
    <w:rsid w:val="0020247D"/>
    <w:rsid w:val="00202D41"/>
    <w:rsid w:val="00202E52"/>
    <w:rsid w:val="002053C2"/>
    <w:rsid w:val="002056B7"/>
    <w:rsid w:val="002063F5"/>
    <w:rsid w:val="00217673"/>
    <w:rsid w:val="00220974"/>
    <w:rsid w:val="00224B41"/>
    <w:rsid w:val="00230FBF"/>
    <w:rsid w:val="00232002"/>
    <w:rsid w:val="00233473"/>
    <w:rsid w:val="00235533"/>
    <w:rsid w:val="00236CDC"/>
    <w:rsid w:val="00237BA9"/>
    <w:rsid w:val="00241A64"/>
    <w:rsid w:val="00244A51"/>
    <w:rsid w:val="002454E3"/>
    <w:rsid w:val="002468FD"/>
    <w:rsid w:val="00251EED"/>
    <w:rsid w:val="00253A58"/>
    <w:rsid w:val="002548DA"/>
    <w:rsid w:val="00260AE2"/>
    <w:rsid w:val="00260C49"/>
    <w:rsid w:val="002640EA"/>
    <w:rsid w:val="00270BEF"/>
    <w:rsid w:val="0027368B"/>
    <w:rsid w:val="002762AF"/>
    <w:rsid w:val="00280831"/>
    <w:rsid w:val="00283817"/>
    <w:rsid w:val="00284F47"/>
    <w:rsid w:val="0029179B"/>
    <w:rsid w:val="00297663"/>
    <w:rsid w:val="002A0084"/>
    <w:rsid w:val="002B3122"/>
    <w:rsid w:val="002B40C3"/>
    <w:rsid w:val="002B70E3"/>
    <w:rsid w:val="002B723D"/>
    <w:rsid w:val="002C0D21"/>
    <w:rsid w:val="002C6F38"/>
    <w:rsid w:val="002C7E4F"/>
    <w:rsid w:val="002D02A9"/>
    <w:rsid w:val="002D3F3C"/>
    <w:rsid w:val="002D7476"/>
    <w:rsid w:val="002E1726"/>
    <w:rsid w:val="002E18B1"/>
    <w:rsid w:val="002E25DD"/>
    <w:rsid w:val="002E6E92"/>
    <w:rsid w:val="002F157A"/>
    <w:rsid w:val="002F2216"/>
    <w:rsid w:val="002F474E"/>
    <w:rsid w:val="002F775F"/>
    <w:rsid w:val="002F7FC1"/>
    <w:rsid w:val="0030738B"/>
    <w:rsid w:val="00313F0D"/>
    <w:rsid w:val="0031743F"/>
    <w:rsid w:val="00317918"/>
    <w:rsid w:val="003248C9"/>
    <w:rsid w:val="00327CAF"/>
    <w:rsid w:val="00332767"/>
    <w:rsid w:val="00336A10"/>
    <w:rsid w:val="00336E7C"/>
    <w:rsid w:val="00337414"/>
    <w:rsid w:val="00352714"/>
    <w:rsid w:val="003543D1"/>
    <w:rsid w:val="0035625F"/>
    <w:rsid w:val="003621C1"/>
    <w:rsid w:val="00370E81"/>
    <w:rsid w:val="003731A7"/>
    <w:rsid w:val="00377DBB"/>
    <w:rsid w:val="00382483"/>
    <w:rsid w:val="00384A77"/>
    <w:rsid w:val="00386F5A"/>
    <w:rsid w:val="0038760F"/>
    <w:rsid w:val="003943F0"/>
    <w:rsid w:val="003968E9"/>
    <w:rsid w:val="00397224"/>
    <w:rsid w:val="003A164B"/>
    <w:rsid w:val="003A17E5"/>
    <w:rsid w:val="003A77D6"/>
    <w:rsid w:val="003B0AA4"/>
    <w:rsid w:val="003C293E"/>
    <w:rsid w:val="003D0BED"/>
    <w:rsid w:val="003D147A"/>
    <w:rsid w:val="003D17EB"/>
    <w:rsid w:val="003D20C8"/>
    <w:rsid w:val="003F07CA"/>
    <w:rsid w:val="003F1830"/>
    <w:rsid w:val="003F1D46"/>
    <w:rsid w:val="003F51A6"/>
    <w:rsid w:val="003F64DD"/>
    <w:rsid w:val="00402978"/>
    <w:rsid w:val="00403A53"/>
    <w:rsid w:val="00403BA1"/>
    <w:rsid w:val="0041102B"/>
    <w:rsid w:val="00411233"/>
    <w:rsid w:val="00423813"/>
    <w:rsid w:val="00424423"/>
    <w:rsid w:val="0042791D"/>
    <w:rsid w:val="00440EEB"/>
    <w:rsid w:val="00441A26"/>
    <w:rsid w:val="00443C3C"/>
    <w:rsid w:val="00443FFC"/>
    <w:rsid w:val="00445BB5"/>
    <w:rsid w:val="00446DD4"/>
    <w:rsid w:val="00454C03"/>
    <w:rsid w:val="004648DA"/>
    <w:rsid w:val="00471C39"/>
    <w:rsid w:val="00471F24"/>
    <w:rsid w:val="00472F29"/>
    <w:rsid w:val="004759D2"/>
    <w:rsid w:val="00475BB5"/>
    <w:rsid w:val="0049051D"/>
    <w:rsid w:val="004B2405"/>
    <w:rsid w:val="004B2E60"/>
    <w:rsid w:val="004B75B9"/>
    <w:rsid w:val="004C26E5"/>
    <w:rsid w:val="004C4802"/>
    <w:rsid w:val="004C6BD6"/>
    <w:rsid w:val="004C6FF4"/>
    <w:rsid w:val="004D4CED"/>
    <w:rsid w:val="004D618B"/>
    <w:rsid w:val="004E0A90"/>
    <w:rsid w:val="004E3B01"/>
    <w:rsid w:val="004E423C"/>
    <w:rsid w:val="004E68DB"/>
    <w:rsid w:val="004E6A18"/>
    <w:rsid w:val="004F30F3"/>
    <w:rsid w:val="004F4261"/>
    <w:rsid w:val="00501DC8"/>
    <w:rsid w:val="00502F81"/>
    <w:rsid w:val="005044AD"/>
    <w:rsid w:val="00505FED"/>
    <w:rsid w:val="00510120"/>
    <w:rsid w:val="0051358C"/>
    <w:rsid w:val="00513C4B"/>
    <w:rsid w:val="005160FF"/>
    <w:rsid w:val="00523AEE"/>
    <w:rsid w:val="00524538"/>
    <w:rsid w:val="005253B1"/>
    <w:rsid w:val="00525A59"/>
    <w:rsid w:val="00527C99"/>
    <w:rsid w:val="0053043A"/>
    <w:rsid w:val="00533B5A"/>
    <w:rsid w:val="005361A5"/>
    <w:rsid w:val="005367ED"/>
    <w:rsid w:val="00554F21"/>
    <w:rsid w:val="005569AB"/>
    <w:rsid w:val="00556F56"/>
    <w:rsid w:val="005577E9"/>
    <w:rsid w:val="00557D8F"/>
    <w:rsid w:val="00562821"/>
    <w:rsid w:val="00562FCB"/>
    <w:rsid w:val="005667E8"/>
    <w:rsid w:val="005808B1"/>
    <w:rsid w:val="00581520"/>
    <w:rsid w:val="005858B2"/>
    <w:rsid w:val="00590190"/>
    <w:rsid w:val="005914DB"/>
    <w:rsid w:val="00592CED"/>
    <w:rsid w:val="00592FF1"/>
    <w:rsid w:val="005A2C61"/>
    <w:rsid w:val="005A59A7"/>
    <w:rsid w:val="005B702A"/>
    <w:rsid w:val="005B7210"/>
    <w:rsid w:val="005C18C5"/>
    <w:rsid w:val="005C2FC3"/>
    <w:rsid w:val="005D1D89"/>
    <w:rsid w:val="005D496C"/>
    <w:rsid w:val="005D4DA8"/>
    <w:rsid w:val="005D512B"/>
    <w:rsid w:val="005D646A"/>
    <w:rsid w:val="005E1A2A"/>
    <w:rsid w:val="005E4871"/>
    <w:rsid w:val="005E712B"/>
    <w:rsid w:val="005F1B8B"/>
    <w:rsid w:val="005F46E9"/>
    <w:rsid w:val="005F5924"/>
    <w:rsid w:val="005F6DE3"/>
    <w:rsid w:val="006055C6"/>
    <w:rsid w:val="006137E6"/>
    <w:rsid w:val="00616573"/>
    <w:rsid w:val="00620405"/>
    <w:rsid w:val="00621DCE"/>
    <w:rsid w:val="006222EF"/>
    <w:rsid w:val="00622631"/>
    <w:rsid w:val="00627780"/>
    <w:rsid w:val="006332B0"/>
    <w:rsid w:val="00633558"/>
    <w:rsid w:val="00642EDB"/>
    <w:rsid w:val="00643D86"/>
    <w:rsid w:val="0064647B"/>
    <w:rsid w:val="00646CFF"/>
    <w:rsid w:val="00646DF2"/>
    <w:rsid w:val="00653C78"/>
    <w:rsid w:val="0065416C"/>
    <w:rsid w:val="0065469D"/>
    <w:rsid w:val="006554C6"/>
    <w:rsid w:val="0065599C"/>
    <w:rsid w:val="0066176A"/>
    <w:rsid w:val="00661E18"/>
    <w:rsid w:val="00662787"/>
    <w:rsid w:val="006631DE"/>
    <w:rsid w:val="00663D17"/>
    <w:rsid w:val="006714F7"/>
    <w:rsid w:val="00680D07"/>
    <w:rsid w:val="0068111C"/>
    <w:rsid w:val="00682B0E"/>
    <w:rsid w:val="00686C85"/>
    <w:rsid w:val="006A58A4"/>
    <w:rsid w:val="006B4264"/>
    <w:rsid w:val="006B4600"/>
    <w:rsid w:val="006B551C"/>
    <w:rsid w:val="006C3255"/>
    <w:rsid w:val="006C6BF1"/>
    <w:rsid w:val="006D1B85"/>
    <w:rsid w:val="006E4118"/>
    <w:rsid w:val="006E53EB"/>
    <w:rsid w:val="006F6571"/>
    <w:rsid w:val="0070084B"/>
    <w:rsid w:val="007065EF"/>
    <w:rsid w:val="00707183"/>
    <w:rsid w:val="00716C6D"/>
    <w:rsid w:val="00716DD7"/>
    <w:rsid w:val="00730F23"/>
    <w:rsid w:val="007320C6"/>
    <w:rsid w:val="00741649"/>
    <w:rsid w:val="007416F1"/>
    <w:rsid w:val="00741821"/>
    <w:rsid w:val="00744FB1"/>
    <w:rsid w:val="00750A80"/>
    <w:rsid w:val="00750F24"/>
    <w:rsid w:val="007565C3"/>
    <w:rsid w:val="007574CA"/>
    <w:rsid w:val="00757567"/>
    <w:rsid w:val="007647CE"/>
    <w:rsid w:val="00764CAC"/>
    <w:rsid w:val="007662EC"/>
    <w:rsid w:val="007664F4"/>
    <w:rsid w:val="00770C49"/>
    <w:rsid w:val="00776F07"/>
    <w:rsid w:val="00777F79"/>
    <w:rsid w:val="007845B4"/>
    <w:rsid w:val="0079270E"/>
    <w:rsid w:val="00792D8F"/>
    <w:rsid w:val="00794DAA"/>
    <w:rsid w:val="007A68A2"/>
    <w:rsid w:val="007B2B13"/>
    <w:rsid w:val="007B6408"/>
    <w:rsid w:val="007C4B7E"/>
    <w:rsid w:val="007C5471"/>
    <w:rsid w:val="007C5D8C"/>
    <w:rsid w:val="007C6CAB"/>
    <w:rsid w:val="007D3EC5"/>
    <w:rsid w:val="007D5875"/>
    <w:rsid w:val="007E26D7"/>
    <w:rsid w:val="007E5A93"/>
    <w:rsid w:val="007E60BC"/>
    <w:rsid w:val="00802B3F"/>
    <w:rsid w:val="008059B1"/>
    <w:rsid w:val="008073B0"/>
    <w:rsid w:val="00807737"/>
    <w:rsid w:val="008115C0"/>
    <w:rsid w:val="008145F8"/>
    <w:rsid w:val="0082123C"/>
    <w:rsid w:val="008229DE"/>
    <w:rsid w:val="008237AC"/>
    <w:rsid w:val="00824931"/>
    <w:rsid w:val="008318E3"/>
    <w:rsid w:val="00842498"/>
    <w:rsid w:val="00842BEC"/>
    <w:rsid w:val="00847B58"/>
    <w:rsid w:val="00850922"/>
    <w:rsid w:val="00853303"/>
    <w:rsid w:val="00854E25"/>
    <w:rsid w:val="0085775A"/>
    <w:rsid w:val="00860357"/>
    <w:rsid w:val="00860E69"/>
    <w:rsid w:val="00864770"/>
    <w:rsid w:val="0086775F"/>
    <w:rsid w:val="00873B71"/>
    <w:rsid w:val="00874FA5"/>
    <w:rsid w:val="0088135C"/>
    <w:rsid w:val="00887D73"/>
    <w:rsid w:val="00891980"/>
    <w:rsid w:val="0089709A"/>
    <w:rsid w:val="00897B79"/>
    <w:rsid w:val="008A0B3F"/>
    <w:rsid w:val="008A11AD"/>
    <w:rsid w:val="008A3FB2"/>
    <w:rsid w:val="008A7A50"/>
    <w:rsid w:val="008B021E"/>
    <w:rsid w:val="008C1A8A"/>
    <w:rsid w:val="008C1BDF"/>
    <w:rsid w:val="008C4098"/>
    <w:rsid w:val="008D0ACA"/>
    <w:rsid w:val="008D1ED1"/>
    <w:rsid w:val="008D406E"/>
    <w:rsid w:val="008D4F49"/>
    <w:rsid w:val="008D5952"/>
    <w:rsid w:val="008E5514"/>
    <w:rsid w:val="008F1390"/>
    <w:rsid w:val="008F563D"/>
    <w:rsid w:val="009037E6"/>
    <w:rsid w:val="00905F22"/>
    <w:rsid w:val="00912CDE"/>
    <w:rsid w:val="00913D62"/>
    <w:rsid w:val="00926648"/>
    <w:rsid w:val="0092735A"/>
    <w:rsid w:val="00930F0A"/>
    <w:rsid w:val="00937BBF"/>
    <w:rsid w:val="00943B1F"/>
    <w:rsid w:val="00943BF8"/>
    <w:rsid w:val="00944814"/>
    <w:rsid w:val="0095359D"/>
    <w:rsid w:val="00953B4E"/>
    <w:rsid w:val="009540A9"/>
    <w:rsid w:val="00960C0C"/>
    <w:rsid w:val="00960D44"/>
    <w:rsid w:val="00962998"/>
    <w:rsid w:val="00964DDE"/>
    <w:rsid w:val="0096511C"/>
    <w:rsid w:val="0097095F"/>
    <w:rsid w:val="009751DE"/>
    <w:rsid w:val="009803BA"/>
    <w:rsid w:val="009846E3"/>
    <w:rsid w:val="00986AFB"/>
    <w:rsid w:val="00994C17"/>
    <w:rsid w:val="009A07BE"/>
    <w:rsid w:val="009A1A2C"/>
    <w:rsid w:val="009A2568"/>
    <w:rsid w:val="009A2F9D"/>
    <w:rsid w:val="009B32FA"/>
    <w:rsid w:val="009B3FEF"/>
    <w:rsid w:val="009B73C9"/>
    <w:rsid w:val="009B7AEE"/>
    <w:rsid w:val="009C12A2"/>
    <w:rsid w:val="009C63BD"/>
    <w:rsid w:val="009D2461"/>
    <w:rsid w:val="009D71D0"/>
    <w:rsid w:val="009D7C6F"/>
    <w:rsid w:val="009E3995"/>
    <w:rsid w:val="009E6F39"/>
    <w:rsid w:val="009F6E37"/>
    <w:rsid w:val="009F72AF"/>
    <w:rsid w:val="00A0593A"/>
    <w:rsid w:val="00A12EEA"/>
    <w:rsid w:val="00A13FD0"/>
    <w:rsid w:val="00A1719D"/>
    <w:rsid w:val="00A17C4C"/>
    <w:rsid w:val="00A2313C"/>
    <w:rsid w:val="00A27C63"/>
    <w:rsid w:val="00A440F8"/>
    <w:rsid w:val="00A44A89"/>
    <w:rsid w:val="00A4504D"/>
    <w:rsid w:val="00A46E3C"/>
    <w:rsid w:val="00A571A9"/>
    <w:rsid w:val="00A60105"/>
    <w:rsid w:val="00A637D4"/>
    <w:rsid w:val="00A64E6D"/>
    <w:rsid w:val="00A6608B"/>
    <w:rsid w:val="00A67132"/>
    <w:rsid w:val="00A72174"/>
    <w:rsid w:val="00A72632"/>
    <w:rsid w:val="00A748DB"/>
    <w:rsid w:val="00A74B4F"/>
    <w:rsid w:val="00A82AE3"/>
    <w:rsid w:val="00A82DCC"/>
    <w:rsid w:val="00A83177"/>
    <w:rsid w:val="00A836A8"/>
    <w:rsid w:val="00A87342"/>
    <w:rsid w:val="00A9476D"/>
    <w:rsid w:val="00A9644E"/>
    <w:rsid w:val="00A972F8"/>
    <w:rsid w:val="00AA0BFE"/>
    <w:rsid w:val="00AA27DE"/>
    <w:rsid w:val="00AA5B0D"/>
    <w:rsid w:val="00AA6767"/>
    <w:rsid w:val="00AB51F1"/>
    <w:rsid w:val="00AC044B"/>
    <w:rsid w:val="00AC0AED"/>
    <w:rsid w:val="00AC2E44"/>
    <w:rsid w:val="00AC5C9D"/>
    <w:rsid w:val="00AD0C37"/>
    <w:rsid w:val="00AE4021"/>
    <w:rsid w:val="00AF11DC"/>
    <w:rsid w:val="00AF25A7"/>
    <w:rsid w:val="00AF442C"/>
    <w:rsid w:val="00AF45EE"/>
    <w:rsid w:val="00AF586A"/>
    <w:rsid w:val="00B00447"/>
    <w:rsid w:val="00B03778"/>
    <w:rsid w:val="00B056C9"/>
    <w:rsid w:val="00B1775F"/>
    <w:rsid w:val="00B213C7"/>
    <w:rsid w:val="00B26CAF"/>
    <w:rsid w:val="00B35CA0"/>
    <w:rsid w:val="00B457A6"/>
    <w:rsid w:val="00B52BA3"/>
    <w:rsid w:val="00B55D6E"/>
    <w:rsid w:val="00B56048"/>
    <w:rsid w:val="00B61896"/>
    <w:rsid w:val="00B62DAC"/>
    <w:rsid w:val="00B63393"/>
    <w:rsid w:val="00B66B19"/>
    <w:rsid w:val="00B67260"/>
    <w:rsid w:val="00B703D0"/>
    <w:rsid w:val="00B71A08"/>
    <w:rsid w:val="00B71DCB"/>
    <w:rsid w:val="00B74DCF"/>
    <w:rsid w:val="00B8343A"/>
    <w:rsid w:val="00B839DB"/>
    <w:rsid w:val="00B84FC5"/>
    <w:rsid w:val="00B9230A"/>
    <w:rsid w:val="00B975E2"/>
    <w:rsid w:val="00BA3316"/>
    <w:rsid w:val="00BA3632"/>
    <w:rsid w:val="00BA777C"/>
    <w:rsid w:val="00BB3319"/>
    <w:rsid w:val="00BB33AC"/>
    <w:rsid w:val="00BB3596"/>
    <w:rsid w:val="00BB6449"/>
    <w:rsid w:val="00BC02AC"/>
    <w:rsid w:val="00BC0D70"/>
    <w:rsid w:val="00BD3B95"/>
    <w:rsid w:val="00BD4AF4"/>
    <w:rsid w:val="00BD71A1"/>
    <w:rsid w:val="00BE3AB2"/>
    <w:rsid w:val="00BE3FA3"/>
    <w:rsid w:val="00BE770E"/>
    <w:rsid w:val="00BF560A"/>
    <w:rsid w:val="00BF5C35"/>
    <w:rsid w:val="00C03239"/>
    <w:rsid w:val="00C04147"/>
    <w:rsid w:val="00C06563"/>
    <w:rsid w:val="00C12FEB"/>
    <w:rsid w:val="00C23992"/>
    <w:rsid w:val="00C26D83"/>
    <w:rsid w:val="00C438FC"/>
    <w:rsid w:val="00C45BA3"/>
    <w:rsid w:val="00C5168C"/>
    <w:rsid w:val="00C56955"/>
    <w:rsid w:val="00C61B6F"/>
    <w:rsid w:val="00C71A9C"/>
    <w:rsid w:val="00C72D13"/>
    <w:rsid w:val="00C81F56"/>
    <w:rsid w:val="00C85F17"/>
    <w:rsid w:val="00C941F2"/>
    <w:rsid w:val="00C94407"/>
    <w:rsid w:val="00C967B9"/>
    <w:rsid w:val="00C96DD2"/>
    <w:rsid w:val="00CA64D6"/>
    <w:rsid w:val="00CB01F8"/>
    <w:rsid w:val="00CB12E7"/>
    <w:rsid w:val="00CB231A"/>
    <w:rsid w:val="00CC2FA9"/>
    <w:rsid w:val="00CC746F"/>
    <w:rsid w:val="00CE07CC"/>
    <w:rsid w:val="00CE122A"/>
    <w:rsid w:val="00CE2164"/>
    <w:rsid w:val="00CE25BA"/>
    <w:rsid w:val="00CE31FC"/>
    <w:rsid w:val="00CE410A"/>
    <w:rsid w:val="00CF4B13"/>
    <w:rsid w:val="00CF6B1E"/>
    <w:rsid w:val="00CF6C2F"/>
    <w:rsid w:val="00CF7F39"/>
    <w:rsid w:val="00D01376"/>
    <w:rsid w:val="00D02549"/>
    <w:rsid w:val="00D05C95"/>
    <w:rsid w:val="00D066EE"/>
    <w:rsid w:val="00D06EC1"/>
    <w:rsid w:val="00D06F73"/>
    <w:rsid w:val="00D148E6"/>
    <w:rsid w:val="00D15F2E"/>
    <w:rsid w:val="00D20502"/>
    <w:rsid w:val="00D2127A"/>
    <w:rsid w:val="00D2299A"/>
    <w:rsid w:val="00D23A54"/>
    <w:rsid w:val="00D23F11"/>
    <w:rsid w:val="00D26BCE"/>
    <w:rsid w:val="00D26C4E"/>
    <w:rsid w:val="00D26DBF"/>
    <w:rsid w:val="00D3307B"/>
    <w:rsid w:val="00D33310"/>
    <w:rsid w:val="00D36C8B"/>
    <w:rsid w:val="00D37124"/>
    <w:rsid w:val="00D4070B"/>
    <w:rsid w:val="00D412D7"/>
    <w:rsid w:val="00D455F9"/>
    <w:rsid w:val="00D4766E"/>
    <w:rsid w:val="00D478CE"/>
    <w:rsid w:val="00D47D9A"/>
    <w:rsid w:val="00D5103C"/>
    <w:rsid w:val="00D57992"/>
    <w:rsid w:val="00D72175"/>
    <w:rsid w:val="00D7240C"/>
    <w:rsid w:val="00D7251E"/>
    <w:rsid w:val="00D72D40"/>
    <w:rsid w:val="00D74277"/>
    <w:rsid w:val="00D7569A"/>
    <w:rsid w:val="00D75F0C"/>
    <w:rsid w:val="00D773DD"/>
    <w:rsid w:val="00D775A6"/>
    <w:rsid w:val="00D84983"/>
    <w:rsid w:val="00D8789E"/>
    <w:rsid w:val="00D933F5"/>
    <w:rsid w:val="00D97BFF"/>
    <w:rsid w:val="00DA0F3C"/>
    <w:rsid w:val="00DA11EC"/>
    <w:rsid w:val="00DB464B"/>
    <w:rsid w:val="00DB7BFB"/>
    <w:rsid w:val="00DC0F7E"/>
    <w:rsid w:val="00DC3B35"/>
    <w:rsid w:val="00DD1D16"/>
    <w:rsid w:val="00DD585A"/>
    <w:rsid w:val="00DD629E"/>
    <w:rsid w:val="00DE32F3"/>
    <w:rsid w:val="00DF279E"/>
    <w:rsid w:val="00DF3B3D"/>
    <w:rsid w:val="00DF5BF3"/>
    <w:rsid w:val="00E02478"/>
    <w:rsid w:val="00E04A05"/>
    <w:rsid w:val="00E15DD7"/>
    <w:rsid w:val="00E16D57"/>
    <w:rsid w:val="00E17188"/>
    <w:rsid w:val="00E25A70"/>
    <w:rsid w:val="00E30995"/>
    <w:rsid w:val="00E30CC5"/>
    <w:rsid w:val="00E31099"/>
    <w:rsid w:val="00E35C89"/>
    <w:rsid w:val="00E35E0F"/>
    <w:rsid w:val="00E36B5A"/>
    <w:rsid w:val="00E4492E"/>
    <w:rsid w:val="00E61599"/>
    <w:rsid w:val="00E629A8"/>
    <w:rsid w:val="00E62E47"/>
    <w:rsid w:val="00E66977"/>
    <w:rsid w:val="00E670A0"/>
    <w:rsid w:val="00E71B11"/>
    <w:rsid w:val="00E8375A"/>
    <w:rsid w:val="00E8782A"/>
    <w:rsid w:val="00EA689F"/>
    <w:rsid w:val="00EA75F3"/>
    <w:rsid w:val="00EB0FBB"/>
    <w:rsid w:val="00EB29FD"/>
    <w:rsid w:val="00EB2B4C"/>
    <w:rsid w:val="00EB5B37"/>
    <w:rsid w:val="00ED54F8"/>
    <w:rsid w:val="00EE142D"/>
    <w:rsid w:val="00EE18BC"/>
    <w:rsid w:val="00EE3764"/>
    <w:rsid w:val="00EE42E6"/>
    <w:rsid w:val="00EE4935"/>
    <w:rsid w:val="00EE685C"/>
    <w:rsid w:val="00EE7F9B"/>
    <w:rsid w:val="00EF7A75"/>
    <w:rsid w:val="00F006DA"/>
    <w:rsid w:val="00F010B8"/>
    <w:rsid w:val="00F01294"/>
    <w:rsid w:val="00F05C92"/>
    <w:rsid w:val="00F120B3"/>
    <w:rsid w:val="00F15889"/>
    <w:rsid w:val="00F15B76"/>
    <w:rsid w:val="00F21FBB"/>
    <w:rsid w:val="00F24E2B"/>
    <w:rsid w:val="00F37CDC"/>
    <w:rsid w:val="00F43277"/>
    <w:rsid w:val="00F43EAB"/>
    <w:rsid w:val="00F44419"/>
    <w:rsid w:val="00F44A1F"/>
    <w:rsid w:val="00F509B3"/>
    <w:rsid w:val="00F51E7C"/>
    <w:rsid w:val="00F53A88"/>
    <w:rsid w:val="00F55C51"/>
    <w:rsid w:val="00F56335"/>
    <w:rsid w:val="00F56A74"/>
    <w:rsid w:val="00F6259C"/>
    <w:rsid w:val="00F64BD9"/>
    <w:rsid w:val="00F71BDB"/>
    <w:rsid w:val="00F812FE"/>
    <w:rsid w:val="00F824EF"/>
    <w:rsid w:val="00F878BA"/>
    <w:rsid w:val="00F95061"/>
    <w:rsid w:val="00F95AA0"/>
    <w:rsid w:val="00F95C0C"/>
    <w:rsid w:val="00F97A01"/>
    <w:rsid w:val="00FA1CF3"/>
    <w:rsid w:val="00FA40E7"/>
    <w:rsid w:val="00FA755C"/>
    <w:rsid w:val="00FB0880"/>
    <w:rsid w:val="00FB0D40"/>
    <w:rsid w:val="00FC0051"/>
    <w:rsid w:val="00FC4727"/>
    <w:rsid w:val="00FC48EE"/>
    <w:rsid w:val="00FC7051"/>
    <w:rsid w:val="00FD2A2E"/>
    <w:rsid w:val="00FD3E98"/>
    <w:rsid w:val="00FD402D"/>
    <w:rsid w:val="00FD4BEF"/>
    <w:rsid w:val="00FD59D8"/>
    <w:rsid w:val="00FE0C32"/>
    <w:rsid w:val="00FE21C6"/>
    <w:rsid w:val="00FE7986"/>
    <w:rsid w:val="00FF1214"/>
    <w:rsid w:val="00FF258E"/>
    <w:rsid w:val="00FF62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E4567"/>
  <w15:chartTrackingRefBased/>
  <w15:docId w15:val="{F412AB05-4EBB-4769-BD00-C680FA95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heme="minorEastAsia" w:hAnsi="Corbel" w:cstheme="minorBidi"/>
        <w:color w:val="000000" w:themeColor="text1"/>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0"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498"/>
    <w:pPr>
      <w:spacing w:after="120" w:line="276" w:lineRule="auto"/>
      <w:jc w:val="both"/>
    </w:pPr>
    <w:rPr>
      <w:lang w:val="en-AU"/>
    </w:rPr>
  </w:style>
  <w:style w:type="paragraph" w:styleId="Heading1">
    <w:name w:val="heading 1"/>
    <w:basedOn w:val="Normal"/>
    <w:next w:val="Normal"/>
    <w:link w:val="Heading1Char"/>
    <w:uiPriority w:val="9"/>
    <w:qFormat/>
    <w:rsid w:val="005F5924"/>
    <w:pPr>
      <w:keepNext/>
      <w:keepLines/>
      <w:spacing w:before="120" w:line="240" w:lineRule="auto"/>
      <w:jc w:val="left"/>
      <w:outlineLvl w:val="0"/>
    </w:pPr>
    <w:rPr>
      <w:rFonts w:eastAsiaTheme="majorEastAsia" w:cstheme="majorBidi"/>
      <w:b/>
      <w:color w:val="auto"/>
      <w:sz w:val="32"/>
      <w:szCs w:val="32"/>
    </w:rPr>
  </w:style>
  <w:style w:type="paragraph" w:styleId="Heading2">
    <w:name w:val="heading 2"/>
    <w:basedOn w:val="Normal"/>
    <w:next w:val="Normal"/>
    <w:link w:val="Heading2Char"/>
    <w:uiPriority w:val="9"/>
    <w:qFormat/>
    <w:rsid w:val="00D7569A"/>
    <w:pPr>
      <w:keepNext/>
      <w:keepLines/>
      <w:spacing w:line="240" w:lineRule="auto"/>
      <w:jc w:val="left"/>
      <w:outlineLvl w:val="1"/>
    </w:pPr>
    <w:rPr>
      <w:rFonts w:eastAsiaTheme="majorEastAsia" w:cstheme="majorBidi"/>
      <w:b/>
      <w:color w:val="auto"/>
      <w:sz w:val="24"/>
      <w:szCs w:val="26"/>
    </w:rPr>
  </w:style>
  <w:style w:type="paragraph" w:styleId="Heading3">
    <w:name w:val="heading 3"/>
    <w:basedOn w:val="Normal"/>
    <w:next w:val="Normal"/>
    <w:link w:val="Heading3Char"/>
    <w:uiPriority w:val="9"/>
    <w:qFormat/>
    <w:rsid w:val="00592CED"/>
    <w:pPr>
      <w:keepNext/>
      <w:keepLines/>
      <w:spacing w:line="240" w:lineRule="auto"/>
      <w:jc w:val="left"/>
      <w:outlineLvl w:val="2"/>
    </w:pPr>
    <w:rPr>
      <w:rFonts w:eastAsiaTheme="majorEastAsia" w:cstheme="majorBidi"/>
      <w:color w:val="auto"/>
      <w:szCs w:val="24"/>
      <w:u w:val="single"/>
    </w:rPr>
  </w:style>
  <w:style w:type="paragraph" w:styleId="Heading5">
    <w:name w:val="heading 5"/>
    <w:basedOn w:val="Normal"/>
    <w:next w:val="Normal"/>
    <w:link w:val="Heading5Char"/>
    <w:uiPriority w:val="9"/>
    <w:semiHidden/>
    <w:unhideWhenUsed/>
    <w:qFormat/>
    <w:rsid w:val="004B2E60"/>
    <w:pPr>
      <w:keepNext/>
      <w:keepLines/>
      <w:spacing w:before="40" w:after="0"/>
      <w:outlineLvl w:val="4"/>
    </w:pPr>
    <w:rPr>
      <w:rFonts w:asciiTheme="majorHAnsi" w:eastAsiaTheme="majorEastAsia" w:hAnsiTheme="majorHAnsi" w:cstheme="majorBidi"/>
      <w:color w:val="5F616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7569A"/>
    <w:pPr>
      <w:spacing w:after="0" w:line="240" w:lineRule="auto"/>
      <w:jc w:val="both"/>
    </w:pPr>
  </w:style>
  <w:style w:type="paragraph" w:styleId="Title">
    <w:name w:val="Title"/>
    <w:basedOn w:val="Normal"/>
    <w:next w:val="Normal"/>
    <w:link w:val="TitleChar"/>
    <w:uiPriority w:val="7"/>
    <w:qFormat/>
    <w:rsid w:val="002C0D21"/>
    <w:pPr>
      <w:spacing w:line="240" w:lineRule="auto"/>
      <w:contextualSpacing/>
      <w:jc w:val="left"/>
    </w:pPr>
    <w:rPr>
      <w:rFonts w:eastAsiaTheme="majorEastAsia" w:cstheme="majorBidi"/>
      <w:b/>
      <w:color w:val="auto"/>
      <w:kern w:val="28"/>
      <w:sz w:val="32"/>
      <w:szCs w:val="56"/>
    </w:rPr>
  </w:style>
  <w:style w:type="character" w:customStyle="1" w:styleId="TitleChar">
    <w:name w:val="Title Char"/>
    <w:basedOn w:val="DefaultParagraphFont"/>
    <w:link w:val="Title"/>
    <w:uiPriority w:val="7"/>
    <w:rsid w:val="002C0D21"/>
    <w:rPr>
      <w:rFonts w:eastAsiaTheme="majorEastAsia" w:cstheme="majorBidi"/>
      <w:b/>
      <w:color w:val="auto"/>
      <w:kern w:val="28"/>
      <w:sz w:val="32"/>
      <w:szCs w:val="56"/>
    </w:rPr>
  </w:style>
  <w:style w:type="character" w:customStyle="1" w:styleId="Heading1Char">
    <w:name w:val="Heading 1 Char"/>
    <w:basedOn w:val="DefaultParagraphFont"/>
    <w:link w:val="Heading1"/>
    <w:uiPriority w:val="9"/>
    <w:rsid w:val="005F5924"/>
    <w:rPr>
      <w:rFonts w:eastAsiaTheme="majorEastAsia" w:cstheme="majorBidi"/>
      <w:b/>
      <w:color w:val="auto"/>
      <w:sz w:val="32"/>
      <w:szCs w:val="32"/>
    </w:rPr>
  </w:style>
  <w:style w:type="character" w:customStyle="1" w:styleId="Heading2Char">
    <w:name w:val="Heading 2 Char"/>
    <w:basedOn w:val="DefaultParagraphFont"/>
    <w:link w:val="Heading2"/>
    <w:uiPriority w:val="9"/>
    <w:rsid w:val="00D7569A"/>
    <w:rPr>
      <w:rFonts w:eastAsiaTheme="majorEastAsia" w:cstheme="majorBidi"/>
      <w:b/>
      <w:color w:val="auto"/>
      <w:sz w:val="24"/>
      <w:szCs w:val="26"/>
    </w:rPr>
  </w:style>
  <w:style w:type="paragraph" w:styleId="Subtitle">
    <w:name w:val="Subtitle"/>
    <w:basedOn w:val="Normal"/>
    <w:next w:val="Normal"/>
    <w:link w:val="SubtitleChar"/>
    <w:uiPriority w:val="8"/>
    <w:qFormat/>
    <w:rsid w:val="00C96DD2"/>
    <w:pPr>
      <w:numPr>
        <w:ilvl w:val="1"/>
      </w:numPr>
      <w:spacing w:after="0" w:line="240" w:lineRule="auto"/>
      <w:jc w:val="left"/>
    </w:pPr>
    <w:rPr>
      <w:color w:val="auto"/>
      <w:spacing w:val="15"/>
      <w:sz w:val="32"/>
    </w:rPr>
  </w:style>
  <w:style w:type="character" w:customStyle="1" w:styleId="SubtitleChar">
    <w:name w:val="Subtitle Char"/>
    <w:basedOn w:val="DefaultParagraphFont"/>
    <w:link w:val="Subtitle"/>
    <w:uiPriority w:val="8"/>
    <w:rsid w:val="00BE3FA3"/>
    <w:rPr>
      <w:color w:val="auto"/>
      <w:spacing w:val="15"/>
      <w:sz w:val="32"/>
    </w:rPr>
  </w:style>
  <w:style w:type="character" w:customStyle="1" w:styleId="Heading3Char">
    <w:name w:val="Heading 3 Char"/>
    <w:basedOn w:val="DefaultParagraphFont"/>
    <w:link w:val="Heading3"/>
    <w:uiPriority w:val="9"/>
    <w:rsid w:val="00592CED"/>
    <w:rPr>
      <w:rFonts w:eastAsiaTheme="majorEastAsia" w:cstheme="majorBidi"/>
      <w:color w:val="auto"/>
      <w:szCs w:val="24"/>
      <w:u w:val="single"/>
    </w:rPr>
  </w:style>
  <w:style w:type="paragraph" w:styleId="ListParagraph">
    <w:name w:val="List Paragraph"/>
    <w:basedOn w:val="Normal"/>
    <w:uiPriority w:val="10"/>
    <w:qFormat/>
    <w:rsid w:val="006F6571"/>
    <w:pPr>
      <w:numPr>
        <w:numId w:val="14"/>
      </w:numPr>
    </w:pPr>
  </w:style>
  <w:style w:type="paragraph" w:customStyle="1" w:styleId="BulletPoints">
    <w:name w:val="Bullet Points"/>
    <w:basedOn w:val="ListParagraph"/>
    <w:uiPriority w:val="11"/>
    <w:rsid w:val="00CC746F"/>
    <w:pPr>
      <w:numPr>
        <w:ilvl w:val="1"/>
      </w:numPr>
    </w:pPr>
  </w:style>
  <w:style w:type="paragraph" w:styleId="Quote">
    <w:name w:val="Quote"/>
    <w:basedOn w:val="Normal"/>
    <w:next w:val="Normal"/>
    <w:link w:val="QuoteChar"/>
    <w:uiPriority w:val="14"/>
    <w:qFormat/>
    <w:rsid w:val="000100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14"/>
    <w:rsid w:val="00C5168C"/>
    <w:rPr>
      <w:i/>
      <w:iCs/>
      <w:color w:val="404040" w:themeColor="text1" w:themeTint="BF"/>
    </w:rPr>
  </w:style>
  <w:style w:type="paragraph" w:customStyle="1" w:styleId="Question">
    <w:name w:val="Question"/>
    <w:basedOn w:val="Normal"/>
    <w:uiPriority w:val="13"/>
    <w:rsid w:val="00EA689F"/>
    <w:pPr>
      <w:numPr>
        <w:numId w:val="28"/>
      </w:numPr>
      <w:ind w:hanging="1287"/>
    </w:pPr>
    <w:rPr>
      <w:i/>
      <w:iCs/>
    </w:rPr>
  </w:style>
  <w:style w:type="paragraph" w:customStyle="1" w:styleId="RECOMMENDATIONS">
    <w:name w:val="RECOMMENDATIONS"/>
    <w:basedOn w:val="ListParagraph"/>
    <w:uiPriority w:val="13"/>
    <w:qFormat/>
    <w:rsid w:val="002F7FC1"/>
    <w:pPr>
      <w:numPr>
        <w:numId w:val="24"/>
      </w:numPr>
    </w:pPr>
  </w:style>
  <w:style w:type="numbering" w:customStyle="1" w:styleId="Style1">
    <w:name w:val="Style1"/>
    <w:uiPriority w:val="99"/>
    <w:rsid w:val="00DD1D16"/>
    <w:pPr>
      <w:numPr>
        <w:numId w:val="5"/>
      </w:numPr>
    </w:pPr>
  </w:style>
  <w:style w:type="numbering" w:customStyle="1" w:styleId="RECOMMENDATION">
    <w:name w:val="RECOMMENDATION"/>
    <w:uiPriority w:val="99"/>
    <w:rsid w:val="00BF5C35"/>
    <w:pPr>
      <w:numPr>
        <w:numId w:val="7"/>
      </w:numPr>
    </w:pPr>
  </w:style>
  <w:style w:type="numbering" w:customStyle="1" w:styleId="Style2">
    <w:name w:val="Style2"/>
    <w:uiPriority w:val="99"/>
    <w:rsid w:val="00A2313C"/>
    <w:pPr>
      <w:numPr>
        <w:numId w:val="9"/>
      </w:numPr>
    </w:pPr>
  </w:style>
  <w:style w:type="numbering" w:customStyle="1" w:styleId="Style3">
    <w:name w:val="Style3"/>
    <w:uiPriority w:val="99"/>
    <w:rsid w:val="00CC746F"/>
    <w:pPr>
      <w:numPr>
        <w:numId w:val="14"/>
      </w:numPr>
    </w:pPr>
  </w:style>
  <w:style w:type="character" w:styleId="PlaceholderText">
    <w:name w:val="Placeholder Text"/>
    <w:basedOn w:val="DefaultParagraphFont"/>
    <w:uiPriority w:val="99"/>
    <w:semiHidden/>
    <w:rsid w:val="00AC044B"/>
    <w:rPr>
      <w:color w:val="808080"/>
    </w:rPr>
  </w:style>
  <w:style w:type="character" w:customStyle="1" w:styleId="NoSpacingChar">
    <w:name w:val="No Spacing Char"/>
    <w:basedOn w:val="DefaultParagraphFont"/>
    <w:link w:val="NoSpacing"/>
    <w:uiPriority w:val="1"/>
    <w:rsid w:val="00E4492E"/>
  </w:style>
  <w:style w:type="paragraph" w:styleId="Header">
    <w:name w:val="header"/>
    <w:basedOn w:val="Normal"/>
    <w:link w:val="HeaderChar"/>
    <w:uiPriority w:val="99"/>
    <w:unhideWhenUsed/>
    <w:rsid w:val="0086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E69"/>
  </w:style>
  <w:style w:type="paragraph" w:styleId="Footer">
    <w:name w:val="footer"/>
    <w:basedOn w:val="Normal"/>
    <w:link w:val="FooterChar"/>
    <w:uiPriority w:val="99"/>
    <w:unhideWhenUsed/>
    <w:rsid w:val="0086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E69"/>
  </w:style>
  <w:style w:type="character" w:styleId="Strong">
    <w:name w:val="Strong"/>
    <w:basedOn w:val="DefaultParagraphFont"/>
    <w:uiPriority w:val="22"/>
    <w:qFormat/>
    <w:rsid w:val="00D066EE"/>
    <w:rPr>
      <w:b/>
      <w:bCs/>
    </w:rPr>
  </w:style>
  <w:style w:type="table" w:styleId="TableGrid">
    <w:name w:val="Table Grid"/>
    <w:basedOn w:val="TableNormal"/>
    <w:uiPriority w:val="39"/>
    <w:rsid w:val="00D14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E5514"/>
    <w:pPr>
      <w:spacing w:after="100"/>
    </w:pPr>
    <w:rPr>
      <w:b/>
      <w:sz w:val="24"/>
    </w:rPr>
  </w:style>
  <w:style w:type="paragraph" w:styleId="TOC2">
    <w:name w:val="toc 2"/>
    <w:basedOn w:val="Normal"/>
    <w:next w:val="Normal"/>
    <w:autoRedefine/>
    <w:uiPriority w:val="39"/>
    <w:unhideWhenUsed/>
    <w:rsid w:val="008E5514"/>
    <w:pPr>
      <w:spacing w:after="100"/>
      <w:ind w:left="220"/>
    </w:pPr>
    <w:rPr>
      <w:b/>
    </w:rPr>
  </w:style>
  <w:style w:type="paragraph" w:styleId="TOC3">
    <w:name w:val="toc 3"/>
    <w:basedOn w:val="Normal"/>
    <w:next w:val="Normal"/>
    <w:autoRedefine/>
    <w:uiPriority w:val="39"/>
    <w:unhideWhenUsed/>
    <w:qFormat/>
    <w:rsid w:val="00EA75F3"/>
    <w:pPr>
      <w:spacing w:after="100"/>
      <w:ind w:left="440"/>
    </w:pPr>
  </w:style>
  <w:style w:type="character" w:styleId="Hyperlink">
    <w:name w:val="Hyperlink"/>
    <w:basedOn w:val="DefaultParagraphFont"/>
    <w:uiPriority w:val="99"/>
    <w:unhideWhenUsed/>
    <w:rsid w:val="00EA75F3"/>
    <w:rPr>
      <w:color w:val="6AC2E0" w:themeColor="hyperlink"/>
      <w:u w:val="single"/>
    </w:rPr>
  </w:style>
  <w:style w:type="paragraph" w:styleId="TOCHeading">
    <w:name w:val="TOC Heading"/>
    <w:basedOn w:val="Heading1"/>
    <w:next w:val="Normal"/>
    <w:uiPriority w:val="39"/>
    <w:unhideWhenUsed/>
    <w:qFormat/>
    <w:rsid w:val="0027368B"/>
    <w:pPr>
      <w:spacing w:before="240" w:after="360" w:line="259" w:lineRule="auto"/>
      <w:outlineLvl w:val="9"/>
    </w:pPr>
    <w:rPr>
      <w:caps/>
      <w:color w:val="5F6163" w:themeColor="accent1" w:themeShade="BF"/>
      <w:lang w:val="en-US" w:eastAsia="en-US"/>
    </w:rPr>
  </w:style>
  <w:style w:type="paragraph" w:styleId="BalloonText">
    <w:name w:val="Balloon Text"/>
    <w:basedOn w:val="Normal"/>
    <w:link w:val="BalloonTextChar"/>
    <w:uiPriority w:val="99"/>
    <w:semiHidden/>
    <w:unhideWhenUsed/>
    <w:rsid w:val="00BF5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60A"/>
    <w:rPr>
      <w:rFonts w:ascii="Segoe UI" w:hAnsi="Segoe UI" w:cs="Segoe UI"/>
      <w:sz w:val="18"/>
      <w:szCs w:val="18"/>
    </w:rPr>
  </w:style>
  <w:style w:type="paragraph" w:styleId="TOC4">
    <w:name w:val="toc 4"/>
    <w:basedOn w:val="Normal"/>
    <w:next w:val="Normal"/>
    <w:autoRedefine/>
    <w:uiPriority w:val="39"/>
    <w:unhideWhenUsed/>
    <w:rsid w:val="00842498"/>
    <w:pPr>
      <w:tabs>
        <w:tab w:val="right" w:leader="dot" w:pos="10194"/>
      </w:tabs>
      <w:spacing w:after="100"/>
      <w:ind w:left="720" w:hanging="720"/>
      <w15:collapsed/>
    </w:pPr>
  </w:style>
  <w:style w:type="character" w:styleId="UnresolvedMention">
    <w:name w:val="Unresolved Mention"/>
    <w:basedOn w:val="DefaultParagraphFont"/>
    <w:uiPriority w:val="99"/>
    <w:semiHidden/>
    <w:unhideWhenUsed/>
    <w:rsid w:val="00217673"/>
    <w:rPr>
      <w:color w:val="605E5C"/>
      <w:shd w:val="clear" w:color="auto" w:fill="E1DFDD"/>
    </w:rPr>
  </w:style>
  <w:style w:type="paragraph" w:styleId="Date">
    <w:name w:val="Date"/>
    <w:basedOn w:val="Normal"/>
    <w:next w:val="Normal"/>
    <w:link w:val="DateChar"/>
    <w:uiPriority w:val="99"/>
    <w:semiHidden/>
    <w:unhideWhenUsed/>
    <w:rsid w:val="00D72D40"/>
  </w:style>
  <w:style w:type="character" w:customStyle="1" w:styleId="DateChar">
    <w:name w:val="Date Char"/>
    <w:basedOn w:val="DefaultParagraphFont"/>
    <w:link w:val="Date"/>
    <w:uiPriority w:val="99"/>
    <w:semiHidden/>
    <w:rsid w:val="00D72D40"/>
  </w:style>
  <w:style w:type="paragraph" w:styleId="Revision">
    <w:name w:val="Revision"/>
    <w:hidden/>
    <w:uiPriority w:val="99"/>
    <w:semiHidden/>
    <w:rsid w:val="00173E68"/>
    <w:pPr>
      <w:spacing w:after="0" w:line="240" w:lineRule="auto"/>
    </w:pPr>
  </w:style>
  <w:style w:type="character" w:styleId="CommentReference">
    <w:name w:val="annotation reference"/>
    <w:basedOn w:val="DefaultParagraphFont"/>
    <w:uiPriority w:val="99"/>
    <w:semiHidden/>
    <w:unhideWhenUsed/>
    <w:rsid w:val="00173E68"/>
    <w:rPr>
      <w:sz w:val="16"/>
      <w:szCs w:val="16"/>
    </w:rPr>
  </w:style>
  <w:style w:type="paragraph" w:styleId="CommentText">
    <w:name w:val="annotation text"/>
    <w:basedOn w:val="Normal"/>
    <w:link w:val="CommentTextChar"/>
    <w:uiPriority w:val="99"/>
    <w:unhideWhenUsed/>
    <w:rsid w:val="00173E68"/>
    <w:pPr>
      <w:spacing w:line="240" w:lineRule="auto"/>
    </w:pPr>
    <w:rPr>
      <w:sz w:val="20"/>
      <w:szCs w:val="20"/>
    </w:rPr>
  </w:style>
  <w:style w:type="character" w:customStyle="1" w:styleId="CommentTextChar">
    <w:name w:val="Comment Text Char"/>
    <w:basedOn w:val="DefaultParagraphFont"/>
    <w:link w:val="CommentText"/>
    <w:uiPriority w:val="99"/>
    <w:rsid w:val="00173E68"/>
    <w:rPr>
      <w:sz w:val="20"/>
      <w:szCs w:val="20"/>
    </w:rPr>
  </w:style>
  <w:style w:type="paragraph" w:styleId="CommentSubject">
    <w:name w:val="annotation subject"/>
    <w:basedOn w:val="CommentText"/>
    <w:next w:val="CommentText"/>
    <w:link w:val="CommentSubjectChar"/>
    <w:uiPriority w:val="99"/>
    <w:semiHidden/>
    <w:unhideWhenUsed/>
    <w:rsid w:val="00173E68"/>
    <w:rPr>
      <w:b/>
      <w:bCs/>
    </w:rPr>
  </w:style>
  <w:style w:type="character" w:customStyle="1" w:styleId="CommentSubjectChar">
    <w:name w:val="Comment Subject Char"/>
    <w:basedOn w:val="CommentTextChar"/>
    <w:link w:val="CommentSubject"/>
    <w:uiPriority w:val="99"/>
    <w:semiHidden/>
    <w:rsid w:val="00173E68"/>
    <w:rPr>
      <w:b/>
      <w:bCs/>
      <w:sz w:val="20"/>
      <w:szCs w:val="20"/>
    </w:rPr>
  </w:style>
  <w:style w:type="paragraph" w:styleId="FootnoteText">
    <w:name w:val="footnote text"/>
    <w:basedOn w:val="Normal"/>
    <w:link w:val="FootnoteTextChar"/>
    <w:uiPriority w:val="99"/>
    <w:rsid w:val="00E02478"/>
    <w:pPr>
      <w:spacing w:after="0" w:line="240" w:lineRule="auto"/>
    </w:pPr>
    <w:rPr>
      <w:sz w:val="16"/>
      <w:szCs w:val="20"/>
    </w:rPr>
  </w:style>
  <w:style w:type="character" w:customStyle="1" w:styleId="FootnoteTextChar">
    <w:name w:val="Footnote Text Char"/>
    <w:basedOn w:val="DefaultParagraphFont"/>
    <w:link w:val="FootnoteText"/>
    <w:uiPriority w:val="99"/>
    <w:rsid w:val="00E02478"/>
    <w:rPr>
      <w:sz w:val="16"/>
      <w:szCs w:val="20"/>
    </w:rPr>
  </w:style>
  <w:style w:type="character" w:styleId="FootnoteReference">
    <w:name w:val="footnote reference"/>
    <w:basedOn w:val="DefaultParagraphFont"/>
    <w:uiPriority w:val="99"/>
    <w:semiHidden/>
    <w:unhideWhenUsed/>
    <w:rsid w:val="009B7AEE"/>
    <w:rPr>
      <w:vertAlign w:val="superscript"/>
    </w:rPr>
  </w:style>
  <w:style w:type="character" w:customStyle="1" w:styleId="Heading5Char">
    <w:name w:val="Heading 5 Char"/>
    <w:basedOn w:val="DefaultParagraphFont"/>
    <w:link w:val="Heading5"/>
    <w:uiPriority w:val="9"/>
    <w:semiHidden/>
    <w:rsid w:val="004B2E60"/>
    <w:rPr>
      <w:rFonts w:asciiTheme="majorHAnsi" w:eastAsiaTheme="majorEastAsia" w:hAnsiTheme="majorHAnsi" w:cstheme="majorBidi"/>
      <w:color w:val="5F6163"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125137">
      <w:bodyDiv w:val="1"/>
      <w:marLeft w:val="0"/>
      <w:marRight w:val="0"/>
      <w:marTop w:val="0"/>
      <w:marBottom w:val="0"/>
      <w:divBdr>
        <w:top w:val="none" w:sz="0" w:space="0" w:color="auto"/>
        <w:left w:val="none" w:sz="0" w:space="0" w:color="auto"/>
        <w:bottom w:val="none" w:sz="0" w:space="0" w:color="auto"/>
        <w:right w:val="none" w:sz="0" w:space="0" w:color="auto"/>
      </w:divBdr>
    </w:div>
    <w:div w:id="2126195197">
      <w:bodyDiv w:val="1"/>
      <w:marLeft w:val="0"/>
      <w:marRight w:val="0"/>
      <w:marTop w:val="0"/>
      <w:marBottom w:val="0"/>
      <w:divBdr>
        <w:top w:val="none" w:sz="0" w:space="0" w:color="auto"/>
        <w:left w:val="none" w:sz="0" w:space="0" w:color="auto"/>
        <w:bottom w:val="none" w:sz="0" w:space="0" w:color="auto"/>
        <w:right w:val="none" w:sz="0" w:space="0" w:color="auto"/>
      </w:divBdr>
      <w:divsChild>
        <w:div w:id="680550789">
          <w:marLeft w:val="0"/>
          <w:marRight w:val="0"/>
          <w:marTop w:val="1260"/>
          <w:marBottom w:val="0"/>
          <w:divBdr>
            <w:top w:val="none" w:sz="0" w:space="0" w:color="auto"/>
            <w:left w:val="none" w:sz="0" w:space="0" w:color="auto"/>
            <w:bottom w:val="none" w:sz="0" w:space="0" w:color="auto"/>
            <w:right w:val="none" w:sz="0" w:space="0" w:color="auto"/>
          </w:divBdr>
          <w:divsChild>
            <w:div w:id="16468568">
              <w:marLeft w:val="0"/>
              <w:marRight w:val="0"/>
              <w:marTop w:val="0"/>
              <w:marBottom w:val="0"/>
              <w:divBdr>
                <w:top w:val="single" w:sz="18" w:space="6" w:color="D3DBE4"/>
                <w:left w:val="none" w:sz="0" w:space="0" w:color="auto"/>
                <w:bottom w:val="none" w:sz="0" w:space="0" w:color="auto"/>
                <w:right w:val="none" w:sz="0" w:space="0" w:color="auto"/>
              </w:divBdr>
              <w:divsChild>
                <w:div w:id="2572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163526">
          <w:marLeft w:val="0"/>
          <w:marRight w:val="0"/>
          <w:marTop w:val="0"/>
          <w:marBottom w:val="0"/>
          <w:divBdr>
            <w:top w:val="none" w:sz="0" w:space="0" w:color="auto"/>
            <w:left w:val="none" w:sz="0" w:space="0" w:color="auto"/>
            <w:bottom w:val="none" w:sz="0" w:space="0" w:color="auto"/>
            <w:right w:val="none" w:sz="0" w:space="0" w:color="auto"/>
          </w:divBdr>
          <w:divsChild>
            <w:div w:id="166103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avithra@consumeraction.org.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download.asic.gov.au/media/35wn0xyp/asic-indigenous-financial-services-framework-published-february-2023.pdf" TargetMode="External"/><Relationship Id="rId13" Type="http://schemas.openxmlformats.org/officeDocument/2006/relationships/hyperlink" Target="https://www.ausbanking.org.au/wp-content/uploads/2024/06/ABA-First-Nations-Community-ID-Factsheet.pdf" TargetMode="External"/><Relationship Id="rId3" Type="http://schemas.openxmlformats.org/officeDocument/2006/relationships/hyperlink" Target="https://www.afca.org.au/news/media-releases/afca-complaints-reveal-ongoing-barriers-for-aboriginal-and-torres-strait-islander-consumers" TargetMode="External"/><Relationship Id="rId7" Type="http://schemas.openxmlformats.org/officeDocument/2006/relationships/hyperlink" Target="https://www.commbank.com.au/brighter/magazine/helping-remote-first-nations-australians-access-banking.html" TargetMode="External"/><Relationship Id="rId12" Type="http://schemas.openxmlformats.org/officeDocument/2006/relationships/hyperlink" Target="https://www.afca.org.au/annual-review-afca-engagement-with-first-nations-peoples" TargetMode="External"/><Relationship Id="rId2" Type="http://schemas.openxmlformats.org/officeDocument/2006/relationships/hyperlink" Target="https://www.scamwatch.gov.au/about-us/news-and-alerts/scam-losses-to-culturally-diverse-communities-people-with-disability-and-indigenous-australians-almost-doubled-in-2021" TargetMode="External"/><Relationship Id="rId1" Type="http://schemas.openxmlformats.org/officeDocument/2006/relationships/hyperlink" Target="https://www.accc.gov.au/media-release/national-anti-scam-centre-calls-for-continued-action-this-scams-awareness-week-as-scam-losses-trend-up-at-174m" TargetMode="External"/><Relationship Id="rId6" Type="http://schemas.openxmlformats.org/officeDocument/2006/relationships/hyperlink" Target="https://www.afca.org.au/news/media-releases/afca-complaints-reveal-ongoing-barriers-for-aboriginal-and-torres-strait-islander-consumers" TargetMode="External"/><Relationship Id="rId11" Type="http://schemas.openxmlformats.org/officeDocument/2006/relationships/hyperlink" Target="https://www.scamwatch.gov.au/research-and-resources/resources/resources-for-first-nations-peoples" TargetMode="External"/><Relationship Id="rId5" Type="http://schemas.openxmlformats.org/officeDocument/2006/relationships/hyperlink" Target="https://digitalinclusionindex.org.au/first-nations-australians-twice-as-likely-to-be-digitally-excluded/" TargetMode="External"/><Relationship Id="rId10" Type="http://schemas.openxmlformats.org/officeDocument/2006/relationships/hyperlink" Target="https://www.ausbanking.org.au/wp-content/uploads/2025/07/ABA-Statement-Commitment-2025.pdf" TargetMode="External"/><Relationship Id="rId4" Type="http://schemas.openxmlformats.org/officeDocument/2006/relationships/hyperlink" Target="https://www.accc.gov.au/media-release/new-taskforce-to-tackle-scambling-as-fake-online-casinos-target-first-nations-australians" TargetMode="External"/><Relationship Id="rId9" Type="http://schemas.openxmlformats.org/officeDocument/2006/relationships/hyperlink" Target="https://ican.org.au/wp-content/uploads/2025/03/First-Nations-Financial-Abuse-Repor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thraJayasekera\CONSUMER%20ACTION%20LAW%20CENTRE\Policy%20User%20-%20Documents\CALC%20Templates\CALC_Template_Submissions_Letterhead_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B1A4854E214E629F766872629ABED8"/>
        <w:category>
          <w:name w:val="General"/>
          <w:gallery w:val="placeholder"/>
        </w:category>
        <w:types>
          <w:type w:val="bbPlcHdr"/>
        </w:types>
        <w:behaviors>
          <w:behavior w:val="content"/>
        </w:behaviors>
        <w:guid w:val="{EC6BF4B6-5BFE-461E-8B4D-F56FCF82D15E}"/>
      </w:docPartPr>
      <w:docPartBody>
        <w:p w:rsidR="00DE00A5" w:rsidRDefault="003212AA">
          <w:pPr>
            <w:pStyle w:val="61B1A4854E214E629F766872629ABED8"/>
          </w:pPr>
          <w:r w:rsidRPr="002617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41A"/>
    <w:rsid w:val="00013FAF"/>
    <w:rsid w:val="00052874"/>
    <w:rsid w:val="003212AA"/>
    <w:rsid w:val="00411233"/>
    <w:rsid w:val="004E68DB"/>
    <w:rsid w:val="0055741E"/>
    <w:rsid w:val="00686C85"/>
    <w:rsid w:val="00C26D83"/>
    <w:rsid w:val="00D7103D"/>
    <w:rsid w:val="00E914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081721289034E46A32C5100C1CAB239">
    <w:name w:val="A081721289034E46A32C5100C1CAB239"/>
  </w:style>
  <w:style w:type="paragraph" w:customStyle="1" w:styleId="3A632DA55CD64C0AA16F9C9FEFEDFB2E">
    <w:name w:val="3A632DA55CD64C0AA16F9C9FEFEDFB2E"/>
  </w:style>
  <w:style w:type="paragraph" w:customStyle="1" w:styleId="61B1A4854E214E629F766872629ABED8">
    <w:name w:val="61B1A4854E214E629F766872629AB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LC Theme Colours">
      <a:dk1>
        <a:sysClr val="windowText" lastClr="000000"/>
      </a:dk1>
      <a:lt1>
        <a:sysClr val="window" lastClr="FFFFFF"/>
      </a:lt1>
      <a:dk2>
        <a:srgbClr val="333333"/>
      </a:dk2>
      <a:lt2>
        <a:srgbClr val="FFFFFF"/>
      </a:lt2>
      <a:accent1>
        <a:srgbClr val="808285"/>
      </a:accent1>
      <a:accent2>
        <a:srgbClr val="99CC00"/>
      </a:accent2>
      <a:accent3>
        <a:srgbClr val="D1FF47"/>
      </a:accent3>
      <a:accent4>
        <a:srgbClr val="248DB1"/>
      </a:accent4>
      <a:accent5>
        <a:srgbClr val="FF7C00"/>
      </a:accent5>
      <a:accent6>
        <a:srgbClr val="004C21"/>
      </a:accent6>
      <a:hlink>
        <a:srgbClr val="6AC2E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377da3-e69f-4087-ad2a-6dafff33f6bf">
      <Terms xmlns="http://schemas.microsoft.com/office/infopath/2007/PartnerControls"/>
    </lcf76f155ced4ddcb4097134ff3c332f>
    <TaxCatchAll xmlns="709c8a12-9769-428d-8a75-b33c3f43a8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162BBA94E58745A2ECD76CCAF2BD06" ma:contentTypeVersion="18" ma:contentTypeDescription="Create a new document." ma:contentTypeScope="" ma:versionID="8b4d67003e1428b873e9a658e12b50f5">
  <xsd:schema xmlns:xsd="http://www.w3.org/2001/XMLSchema" xmlns:xs="http://www.w3.org/2001/XMLSchema" xmlns:p="http://schemas.microsoft.com/office/2006/metadata/properties" xmlns:ns2="709c8a12-9769-428d-8a75-b33c3f43a8dd" xmlns:ns3="06377da3-e69f-4087-ad2a-6dafff33f6bf" targetNamespace="http://schemas.microsoft.com/office/2006/metadata/properties" ma:root="true" ma:fieldsID="a73cb57d21ce410567956ed1f1f98bd5" ns2:_="" ns3:_="">
    <xsd:import namespace="709c8a12-9769-428d-8a75-b33c3f43a8dd"/>
    <xsd:import namespace="06377da3-e69f-4087-ad2a-6dafff33f6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c8a12-9769-428d-8a75-b33c3f43a8d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2a416e75-51a7-46e2-8a7a-61a3c12c5445}" ma:internalName="TaxCatchAll" ma:showField="CatchAllData" ma:web="709c8a12-9769-428d-8a75-b33c3f43a8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377da3-e69f-4087-ad2a-6dafff33f6b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599f2b2-4e44-4b66-a7eb-6e8b3dec23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CC562D-825E-4D2D-83D9-51F5B773F275}">
  <ds:schemaRefs>
    <ds:schemaRef ds:uri="http://schemas.openxmlformats.org/officeDocument/2006/bibliography"/>
  </ds:schemaRefs>
</ds:datastoreItem>
</file>

<file path=customXml/itemProps2.xml><?xml version="1.0" encoding="utf-8"?>
<ds:datastoreItem xmlns:ds="http://schemas.openxmlformats.org/officeDocument/2006/customXml" ds:itemID="{489AD13E-99D5-497C-BFD6-D87B8CD0CA89}">
  <ds:schemaRefs>
    <ds:schemaRef ds:uri="http://schemas.microsoft.com/office/2006/metadata/properties"/>
    <ds:schemaRef ds:uri="http://schemas.microsoft.com/office/infopath/2007/PartnerControls"/>
    <ds:schemaRef ds:uri="06377da3-e69f-4087-ad2a-6dafff33f6bf"/>
    <ds:schemaRef ds:uri="709c8a12-9769-428d-8a75-b33c3f43a8dd"/>
  </ds:schemaRefs>
</ds:datastoreItem>
</file>

<file path=customXml/itemProps3.xml><?xml version="1.0" encoding="utf-8"?>
<ds:datastoreItem xmlns:ds="http://schemas.openxmlformats.org/officeDocument/2006/customXml" ds:itemID="{8E566E4E-DB5C-4FAB-A30D-DE99BF40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c8a12-9769-428d-8a75-b33c3f43a8dd"/>
    <ds:schemaRef ds:uri="06377da3-e69f-4087-ad2a-6dafff33f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A9E395-4459-4BDE-A3FE-431E23265F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CALC_Template_Submissions_Letterhead_NEW</Template>
  <TotalTime>1728</TotalTime>
  <Pages>7</Pages>
  <Words>2398</Words>
  <Characters>13672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16038</CharactersWithSpaces>
  <SharedDoc>false</SharedDoc>
  <HLinks>
    <vt:vector size="192" baseType="variant">
      <vt:variant>
        <vt:i4>6422640</vt:i4>
      </vt:variant>
      <vt:variant>
        <vt:i4>60</vt:i4>
      </vt:variant>
      <vt:variant>
        <vt:i4>0</vt:i4>
      </vt:variant>
      <vt:variant>
        <vt:i4>5</vt:i4>
      </vt:variant>
      <vt:variant>
        <vt:lpwstr>mailto:</vt:lpwstr>
      </vt:variant>
      <vt:variant>
        <vt:lpwstr/>
      </vt:variant>
      <vt:variant>
        <vt:i4>1048626</vt:i4>
      </vt:variant>
      <vt:variant>
        <vt:i4>53</vt:i4>
      </vt:variant>
      <vt:variant>
        <vt:i4>0</vt:i4>
      </vt:variant>
      <vt:variant>
        <vt:i4>5</vt:i4>
      </vt:variant>
      <vt:variant>
        <vt:lpwstr/>
      </vt:variant>
      <vt:variant>
        <vt:lpwstr>_Toc237525543</vt:lpwstr>
      </vt:variant>
      <vt:variant>
        <vt:i4>1048626</vt:i4>
      </vt:variant>
      <vt:variant>
        <vt:i4>47</vt:i4>
      </vt:variant>
      <vt:variant>
        <vt:i4>0</vt:i4>
      </vt:variant>
      <vt:variant>
        <vt:i4>5</vt:i4>
      </vt:variant>
      <vt:variant>
        <vt:lpwstr/>
      </vt:variant>
      <vt:variant>
        <vt:lpwstr>_Toc237525542</vt:lpwstr>
      </vt:variant>
      <vt:variant>
        <vt:i4>1048626</vt:i4>
      </vt:variant>
      <vt:variant>
        <vt:i4>41</vt:i4>
      </vt:variant>
      <vt:variant>
        <vt:i4>0</vt:i4>
      </vt:variant>
      <vt:variant>
        <vt:i4>5</vt:i4>
      </vt:variant>
      <vt:variant>
        <vt:lpwstr/>
      </vt:variant>
      <vt:variant>
        <vt:lpwstr>_Toc237525541</vt:lpwstr>
      </vt:variant>
      <vt:variant>
        <vt:i4>1048626</vt:i4>
      </vt:variant>
      <vt:variant>
        <vt:i4>35</vt:i4>
      </vt:variant>
      <vt:variant>
        <vt:i4>0</vt:i4>
      </vt:variant>
      <vt:variant>
        <vt:i4>5</vt:i4>
      </vt:variant>
      <vt:variant>
        <vt:lpwstr/>
      </vt:variant>
      <vt:variant>
        <vt:lpwstr>_Toc237525540</vt:lpwstr>
      </vt:variant>
      <vt:variant>
        <vt:i4>1507378</vt:i4>
      </vt:variant>
      <vt:variant>
        <vt:i4>29</vt:i4>
      </vt:variant>
      <vt:variant>
        <vt:i4>0</vt:i4>
      </vt:variant>
      <vt:variant>
        <vt:i4>5</vt:i4>
      </vt:variant>
      <vt:variant>
        <vt:lpwstr/>
      </vt:variant>
      <vt:variant>
        <vt:lpwstr>_Toc237525539</vt:lpwstr>
      </vt:variant>
      <vt:variant>
        <vt:i4>1507378</vt:i4>
      </vt:variant>
      <vt:variant>
        <vt:i4>23</vt:i4>
      </vt:variant>
      <vt:variant>
        <vt:i4>0</vt:i4>
      </vt:variant>
      <vt:variant>
        <vt:i4>5</vt:i4>
      </vt:variant>
      <vt:variant>
        <vt:lpwstr/>
      </vt:variant>
      <vt:variant>
        <vt:lpwstr>_Toc237525538</vt:lpwstr>
      </vt:variant>
      <vt:variant>
        <vt:i4>1507378</vt:i4>
      </vt:variant>
      <vt:variant>
        <vt:i4>17</vt:i4>
      </vt:variant>
      <vt:variant>
        <vt:i4>0</vt:i4>
      </vt:variant>
      <vt:variant>
        <vt:i4>5</vt:i4>
      </vt:variant>
      <vt:variant>
        <vt:lpwstr/>
      </vt:variant>
      <vt:variant>
        <vt:lpwstr>_Toc237525537</vt:lpwstr>
      </vt:variant>
      <vt:variant>
        <vt:i4>1507378</vt:i4>
      </vt:variant>
      <vt:variant>
        <vt:i4>11</vt:i4>
      </vt:variant>
      <vt:variant>
        <vt:i4>0</vt:i4>
      </vt:variant>
      <vt:variant>
        <vt:i4>5</vt:i4>
      </vt:variant>
      <vt:variant>
        <vt:lpwstr/>
      </vt:variant>
      <vt:variant>
        <vt:lpwstr>_Toc237525536</vt:lpwstr>
      </vt:variant>
      <vt:variant>
        <vt:i4>1507378</vt:i4>
      </vt:variant>
      <vt:variant>
        <vt:i4>5</vt:i4>
      </vt:variant>
      <vt:variant>
        <vt:i4>0</vt:i4>
      </vt:variant>
      <vt:variant>
        <vt:i4>5</vt:i4>
      </vt:variant>
      <vt:variant>
        <vt:lpwstr/>
      </vt:variant>
      <vt:variant>
        <vt:lpwstr>_Toc237525535</vt:lpwstr>
      </vt:variant>
      <vt:variant>
        <vt:i4>1835019</vt:i4>
      </vt:variant>
      <vt:variant>
        <vt:i4>36</vt:i4>
      </vt:variant>
      <vt:variant>
        <vt:i4>0</vt:i4>
      </vt:variant>
      <vt:variant>
        <vt:i4>5</vt:i4>
      </vt:variant>
      <vt:variant>
        <vt:lpwstr>https://www.ausbanking.org.au/wp-content/uploads/2024/06/ABA-First-Nations-Community-ID-Factsheet.pdf</vt:lpwstr>
      </vt:variant>
      <vt:variant>
        <vt:lpwstr/>
      </vt:variant>
      <vt:variant>
        <vt:i4>1638411</vt:i4>
      </vt:variant>
      <vt:variant>
        <vt:i4>33</vt:i4>
      </vt:variant>
      <vt:variant>
        <vt:i4>0</vt:i4>
      </vt:variant>
      <vt:variant>
        <vt:i4>5</vt:i4>
      </vt:variant>
      <vt:variant>
        <vt:lpwstr>https://www.afca.org.au/annual-review-afca-engagement-with-first-nations-peoples</vt:lpwstr>
      </vt:variant>
      <vt:variant>
        <vt:lpwstr/>
      </vt:variant>
      <vt:variant>
        <vt:i4>5046300</vt:i4>
      </vt:variant>
      <vt:variant>
        <vt:i4>30</vt:i4>
      </vt:variant>
      <vt:variant>
        <vt:i4>0</vt:i4>
      </vt:variant>
      <vt:variant>
        <vt:i4>5</vt:i4>
      </vt:variant>
      <vt:variant>
        <vt:lpwstr>https://www.scamwatch.gov.au/research-and-resources/resources/resources-for-first-nations-peoples</vt:lpwstr>
      </vt:variant>
      <vt:variant>
        <vt:lpwstr/>
      </vt:variant>
      <vt:variant>
        <vt:i4>3801139</vt:i4>
      </vt:variant>
      <vt:variant>
        <vt:i4>27</vt:i4>
      </vt:variant>
      <vt:variant>
        <vt:i4>0</vt:i4>
      </vt:variant>
      <vt:variant>
        <vt:i4>5</vt:i4>
      </vt:variant>
      <vt:variant>
        <vt:lpwstr>https://www.ausbanking.org.au/wp-content/uploads/2025/07/ABA-Statement-Commitment-2025.pdf</vt:lpwstr>
      </vt:variant>
      <vt:variant>
        <vt:lpwstr/>
      </vt:variant>
      <vt:variant>
        <vt:i4>7274600</vt:i4>
      </vt:variant>
      <vt:variant>
        <vt:i4>24</vt:i4>
      </vt:variant>
      <vt:variant>
        <vt:i4>0</vt:i4>
      </vt:variant>
      <vt:variant>
        <vt:i4>5</vt:i4>
      </vt:variant>
      <vt:variant>
        <vt:lpwstr>https://ican.org.au/wp-content/uploads/2025/03/First-Nations-Financial-Abuse-Report.pdf</vt:lpwstr>
      </vt:variant>
      <vt:variant>
        <vt:lpwstr/>
      </vt:variant>
      <vt:variant>
        <vt:i4>65543</vt:i4>
      </vt:variant>
      <vt:variant>
        <vt:i4>21</vt:i4>
      </vt:variant>
      <vt:variant>
        <vt:i4>0</vt:i4>
      </vt:variant>
      <vt:variant>
        <vt:i4>5</vt:i4>
      </vt:variant>
      <vt:variant>
        <vt:lpwstr>https://download.asic.gov.au/media/35wn0xyp/asic-indigenous-financial-services-framework-published-february-2023.pdf</vt:lpwstr>
      </vt:variant>
      <vt:variant>
        <vt:lpwstr/>
      </vt:variant>
      <vt:variant>
        <vt:i4>7143541</vt:i4>
      </vt:variant>
      <vt:variant>
        <vt:i4>18</vt:i4>
      </vt:variant>
      <vt:variant>
        <vt:i4>0</vt:i4>
      </vt:variant>
      <vt:variant>
        <vt:i4>5</vt:i4>
      </vt:variant>
      <vt:variant>
        <vt:lpwstr>https://www.commbank.com.au/brighter/magazine/helping-remote-first-nations-australians-access-banking.html</vt:lpwstr>
      </vt:variant>
      <vt:variant>
        <vt:lpwstr/>
      </vt:variant>
      <vt:variant>
        <vt:i4>6684726</vt:i4>
      </vt:variant>
      <vt:variant>
        <vt:i4>15</vt:i4>
      </vt:variant>
      <vt:variant>
        <vt:i4>0</vt:i4>
      </vt:variant>
      <vt:variant>
        <vt:i4>5</vt:i4>
      </vt:variant>
      <vt:variant>
        <vt:lpwstr>https://www.afca.org.au/news/media-releases/afca-complaints-reveal-ongoing-barriers-for-aboriginal-and-torres-strait-islander-consumers</vt:lpwstr>
      </vt:variant>
      <vt:variant>
        <vt:lpwstr/>
      </vt:variant>
      <vt:variant>
        <vt:i4>5898328</vt:i4>
      </vt:variant>
      <vt:variant>
        <vt:i4>12</vt:i4>
      </vt:variant>
      <vt:variant>
        <vt:i4>0</vt:i4>
      </vt:variant>
      <vt:variant>
        <vt:i4>5</vt:i4>
      </vt:variant>
      <vt:variant>
        <vt:lpwstr>https://digitalinclusionindex.org.au/first-nations-australians-twice-as-likely-to-be-digitally-excluded/</vt:lpwstr>
      </vt:variant>
      <vt:variant>
        <vt:lpwstr/>
      </vt:variant>
      <vt:variant>
        <vt:i4>7864374</vt:i4>
      </vt:variant>
      <vt:variant>
        <vt:i4>9</vt:i4>
      </vt:variant>
      <vt:variant>
        <vt:i4>0</vt:i4>
      </vt:variant>
      <vt:variant>
        <vt:i4>5</vt:i4>
      </vt:variant>
      <vt:variant>
        <vt:lpwstr>https://www.accc.gov.au/media-release/new-taskforce-to-tackle-scambling-as-fake-online-casinos-target-first-nations-australians</vt:lpwstr>
      </vt:variant>
      <vt:variant>
        <vt:lpwstr/>
      </vt:variant>
      <vt:variant>
        <vt:i4>6684726</vt:i4>
      </vt:variant>
      <vt:variant>
        <vt:i4>6</vt:i4>
      </vt:variant>
      <vt:variant>
        <vt:i4>0</vt:i4>
      </vt:variant>
      <vt:variant>
        <vt:i4>5</vt:i4>
      </vt:variant>
      <vt:variant>
        <vt:lpwstr>https://www.afca.org.au/news/media-releases/afca-complaints-reveal-ongoing-barriers-for-aboriginal-and-torres-strait-islander-consumers</vt:lpwstr>
      </vt:variant>
      <vt:variant>
        <vt:lpwstr/>
      </vt:variant>
      <vt:variant>
        <vt:i4>4915218</vt:i4>
      </vt:variant>
      <vt:variant>
        <vt:i4>3</vt:i4>
      </vt:variant>
      <vt:variant>
        <vt:i4>0</vt:i4>
      </vt:variant>
      <vt:variant>
        <vt:i4>5</vt:i4>
      </vt:variant>
      <vt:variant>
        <vt:lpwstr>https://www.scamwatch.gov.au/about-us/news-and-alerts/scam-losses-to-culturally-diverse-communities-people-with-disability-and-indigenous-australians-almost-doubled-in-2021</vt:lpwstr>
      </vt:variant>
      <vt:variant>
        <vt:lpwstr/>
      </vt:variant>
      <vt:variant>
        <vt:i4>5570652</vt:i4>
      </vt:variant>
      <vt:variant>
        <vt:i4>0</vt:i4>
      </vt:variant>
      <vt:variant>
        <vt:i4>0</vt:i4>
      </vt:variant>
      <vt:variant>
        <vt:i4>5</vt:i4>
      </vt:variant>
      <vt:variant>
        <vt:lpwstr>https://www.accc.gov.au/media-release/national-anti-scam-centre-calls-for-continued-action-this-scams-awareness-week-as-scam-losses-trend-up-at-174m</vt:lpwstr>
      </vt:variant>
      <vt:variant>
        <vt:lpwstr/>
      </vt:variant>
      <vt:variant>
        <vt:i4>1507381</vt:i4>
      </vt:variant>
      <vt:variant>
        <vt:i4>26</vt:i4>
      </vt:variant>
      <vt:variant>
        <vt:i4>0</vt:i4>
      </vt:variant>
      <vt:variant>
        <vt:i4>5</vt:i4>
      </vt:variant>
      <vt:variant>
        <vt:lpwstr/>
      </vt:variant>
      <vt:variant>
        <vt:lpwstr>_Toc237525238</vt:lpwstr>
      </vt:variant>
      <vt:variant>
        <vt:i4>1507381</vt:i4>
      </vt:variant>
      <vt:variant>
        <vt:i4>23</vt:i4>
      </vt:variant>
      <vt:variant>
        <vt:i4>0</vt:i4>
      </vt:variant>
      <vt:variant>
        <vt:i4>5</vt:i4>
      </vt:variant>
      <vt:variant>
        <vt:lpwstr/>
      </vt:variant>
      <vt:variant>
        <vt:lpwstr>_Toc237525237</vt:lpwstr>
      </vt:variant>
      <vt:variant>
        <vt:i4>1507381</vt:i4>
      </vt:variant>
      <vt:variant>
        <vt:i4>20</vt:i4>
      </vt:variant>
      <vt:variant>
        <vt:i4>0</vt:i4>
      </vt:variant>
      <vt:variant>
        <vt:i4>5</vt:i4>
      </vt:variant>
      <vt:variant>
        <vt:lpwstr/>
      </vt:variant>
      <vt:variant>
        <vt:lpwstr>_Toc237525236</vt:lpwstr>
      </vt:variant>
      <vt:variant>
        <vt:i4>1507381</vt:i4>
      </vt:variant>
      <vt:variant>
        <vt:i4>17</vt:i4>
      </vt:variant>
      <vt:variant>
        <vt:i4>0</vt:i4>
      </vt:variant>
      <vt:variant>
        <vt:i4>5</vt:i4>
      </vt:variant>
      <vt:variant>
        <vt:lpwstr/>
      </vt:variant>
      <vt:variant>
        <vt:lpwstr>_Toc237525235</vt:lpwstr>
      </vt:variant>
      <vt:variant>
        <vt:i4>1507381</vt:i4>
      </vt:variant>
      <vt:variant>
        <vt:i4>14</vt:i4>
      </vt:variant>
      <vt:variant>
        <vt:i4>0</vt:i4>
      </vt:variant>
      <vt:variant>
        <vt:i4>5</vt:i4>
      </vt:variant>
      <vt:variant>
        <vt:lpwstr/>
      </vt:variant>
      <vt:variant>
        <vt:lpwstr>_Toc237525234</vt:lpwstr>
      </vt:variant>
      <vt:variant>
        <vt:i4>1507381</vt:i4>
      </vt:variant>
      <vt:variant>
        <vt:i4>11</vt:i4>
      </vt:variant>
      <vt:variant>
        <vt:i4>0</vt:i4>
      </vt:variant>
      <vt:variant>
        <vt:i4>5</vt:i4>
      </vt:variant>
      <vt:variant>
        <vt:lpwstr/>
      </vt:variant>
      <vt:variant>
        <vt:lpwstr>_Toc237525233</vt:lpwstr>
      </vt:variant>
      <vt:variant>
        <vt:i4>1507381</vt:i4>
      </vt:variant>
      <vt:variant>
        <vt:i4>8</vt:i4>
      </vt:variant>
      <vt:variant>
        <vt:i4>0</vt:i4>
      </vt:variant>
      <vt:variant>
        <vt:i4>5</vt:i4>
      </vt:variant>
      <vt:variant>
        <vt:lpwstr/>
      </vt:variant>
      <vt:variant>
        <vt:lpwstr>_Toc237525232</vt:lpwstr>
      </vt:variant>
      <vt:variant>
        <vt:i4>1507381</vt:i4>
      </vt:variant>
      <vt:variant>
        <vt:i4>5</vt:i4>
      </vt:variant>
      <vt:variant>
        <vt:i4>0</vt:i4>
      </vt:variant>
      <vt:variant>
        <vt:i4>5</vt:i4>
      </vt:variant>
      <vt:variant>
        <vt:lpwstr/>
      </vt:variant>
      <vt:variant>
        <vt:lpwstr>_Toc237525231</vt:lpwstr>
      </vt:variant>
      <vt:variant>
        <vt:i4>1507381</vt:i4>
      </vt:variant>
      <vt:variant>
        <vt:i4>2</vt:i4>
      </vt:variant>
      <vt:variant>
        <vt:i4>0</vt:i4>
      </vt:variant>
      <vt:variant>
        <vt:i4>5</vt:i4>
      </vt:variant>
      <vt:variant>
        <vt:lpwstr/>
      </vt:variant>
      <vt:variant>
        <vt:lpwstr>_Toc237525230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Pavithra Jayasekera</dc:creator>
  <cp:keywords/>
  <dc:description/>
  <cp:lastModifiedBy>Pavithra Jayasekera</cp:lastModifiedBy>
  <cp:revision>301</cp:revision>
  <dcterms:created xsi:type="dcterms:W3CDTF">2026-08-06T01:37:00Z</dcterms:created>
  <dcterms:modified xsi:type="dcterms:W3CDTF">2026-08-13T05:39:00Z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0x0101003B162BBA94E58745A2ECD76CCAF2BD06</vt:lpwstr>
  </property>
  <property fmtid="{D5CDD505-2E9C-101B-9397-08002B2CF9AE}" pid="3" name="MediaServiceImageTags">
    <vt:lpwstr/>
  </property>
</Properties>
</file>